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29" w:rsidRPr="0061374C" w:rsidRDefault="0061374C" w:rsidP="0061374C">
      <w:pPr>
        <w:keepNext/>
        <w:spacing w:after="0" w:line="240" w:lineRule="auto"/>
        <w:ind w:left="360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val="pt-PT" w:eastAsia="fr-FR"/>
        </w:rPr>
      </w:pPr>
      <w:bookmarkStart w:id="0" w:name="_Toc255833963"/>
      <w:bookmarkStart w:id="1" w:name="_Toc256079738"/>
      <w:bookmarkStart w:id="2" w:name="_Toc256786788"/>
      <w:bookmarkStart w:id="3" w:name="_Toc256848898"/>
      <w:bookmarkStart w:id="4" w:name="_Toc257107914"/>
      <w:bookmarkStart w:id="5" w:name="_Toc257467118"/>
      <w:bookmarkStart w:id="6" w:name="_Toc257468058"/>
      <w:bookmarkStart w:id="7" w:name="_Toc303445575"/>
      <w:bookmarkStart w:id="8" w:name="_Toc310349146"/>
      <w:bookmarkStart w:id="9" w:name="_Toc312839619"/>
      <w:bookmarkStart w:id="10" w:name="_Toc312840240"/>
      <w:bookmarkStart w:id="11" w:name="_Toc317090256"/>
      <w:bookmarkStart w:id="12" w:name="_Toc317163957"/>
      <w:bookmarkStart w:id="13" w:name="_Toc320465597"/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pt-PT" w:eastAsia="fr-FR"/>
        </w:rPr>
        <w:t xml:space="preserve">Anexo B: </w:t>
      </w:r>
      <w:r w:rsidR="00D33A29" w:rsidRPr="0061374C">
        <w:rPr>
          <w:rFonts w:ascii="Bookman Old Style" w:eastAsia="Times New Roman" w:hAnsi="Bookman Old Style" w:cs="Times New Roman"/>
          <w:b/>
          <w:bCs/>
          <w:sz w:val="24"/>
          <w:szCs w:val="24"/>
          <w:lang w:val="pt-PT" w:eastAsia="fr-FR"/>
        </w:rPr>
        <w:t>DEFINIÇÕES.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D33A29" w:rsidRPr="0061374C" w:rsidRDefault="00D33A29" w:rsidP="00D33A2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pt-PT" w:eastAsia="fr-FR"/>
        </w:rPr>
      </w:pPr>
    </w:p>
    <w:p w:rsidR="00D33A29" w:rsidRPr="00D33A29" w:rsidRDefault="00D33A29" w:rsidP="00D33A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33A29">
        <w:rPr>
          <w:rFonts w:ascii="Times New Roman" w:eastAsia="Times New Roman" w:hAnsi="Times New Roman" w:cs="Times New Roman"/>
          <w:sz w:val="24"/>
          <w:szCs w:val="24"/>
          <w:lang w:val="pt-PT"/>
        </w:rPr>
        <w:t>No contexto desta Estratégia, os termos que se seguem devem ser entendidos como:</w:t>
      </w:r>
    </w:p>
    <w:p w:rsidR="00D33A29" w:rsidRPr="00D33A29" w:rsidRDefault="00D33A29" w:rsidP="00D33A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</w:p>
    <w:p w:rsidR="00D33A29" w:rsidRPr="00D33A29" w:rsidRDefault="00D33A29" w:rsidP="00D33A2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pt-PT" w:eastAsia="fr-FR"/>
        </w:rPr>
      </w:pPr>
    </w:p>
    <w:p w:rsidR="00D33A29" w:rsidRPr="00D33A29" w:rsidRDefault="00D33A29" w:rsidP="00D33A29">
      <w:pPr>
        <w:keepNext/>
        <w:numPr>
          <w:ilvl w:val="0"/>
          <w:numId w:val="2"/>
        </w:numPr>
        <w:spacing w:after="0" w:line="240" w:lineRule="auto"/>
        <w:ind w:hanging="900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bookmarkStart w:id="14" w:name="_Toc255833964"/>
      <w:bookmarkStart w:id="15" w:name="_Toc256079739"/>
      <w:bookmarkStart w:id="16" w:name="_Toc256786789"/>
      <w:bookmarkStart w:id="17" w:name="_Toc256848899"/>
      <w:bookmarkStart w:id="18" w:name="_Toc257107915"/>
      <w:bookmarkStart w:id="19" w:name="_Toc257467119"/>
      <w:bookmarkStart w:id="20" w:name="_Toc257468059"/>
      <w:bookmarkStart w:id="21" w:name="_Toc303445576"/>
      <w:bookmarkStart w:id="22" w:name="_Toc310349147"/>
      <w:bookmarkStart w:id="23" w:name="_Toc312839620"/>
      <w:bookmarkStart w:id="24" w:name="_Toc312840241"/>
      <w:bookmarkStart w:id="25" w:name="_Toc317090257"/>
      <w:bookmarkStart w:id="26" w:name="_Toc317163958"/>
      <w:bookmarkStart w:id="27" w:name="_Toc320465598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DOMÍNIO MARÍTIMO DA ÁFRICA.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D33A29" w:rsidRPr="00D33A29" w:rsidRDefault="00D33A29" w:rsidP="00D33A2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33A29" w:rsidRPr="00D33A29" w:rsidRDefault="00D33A29" w:rsidP="00D33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 w:rsidRPr="00D33A29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 xml:space="preserve">“Domínio Marítimo da África (DMA) ” </w:t>
      </w:r>
      <w:r w:rsidRPr="00D33A29">
        <w:rPr>
          <w:rFonts w:ascii="Times New Roman" w:eastAsia="Times New Roman" w:hAnsi="Times New Roman" w:cs="Times New Roman"/>
          <w:sz w:val="24"/>
          <w:szCs w:val="24"/>
          <w:lang w:val="pt-PT"/>
        </w:rPr>
        <w:t>refere-se a todas as áreas e os recursos de, sobre, sob, relativamente, ao lado, ou na fronteira com um mar Africano, oceano ou lagos africanos, intra-costeiras e das vias marítimas internas navegáveis, incluindo todas as actividades africanas ligadas ao sector marítimo, da infra-estrutura, de carga, de navios e de outros meios de transportes. Inclui-se igualmente o ar acima dos mares africanos, oceanos, lagos, intra-costeiras e vias marítimas internas navegáveis ​​e também ao espectro electromagnético dos oceanos também.</w:t>
      </w:r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</w:p>
    <w:p w:rsidR="00D33A29" w:rsidRPr="00D33A29" w:rsidRDefault="00D33A29" w:rsidP="00D33A29">
      <w:pPr>
        <w:keepNext/>
        <w:numPr>
          <w:ilvl w:val="0"/>
          <w:numId w:val="2"/>
        </w:numPr>
        <w:spacing w:after="0" w:line="240" w:lineRule="auto"/>
        <w:ind w:hanging="810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val="pt-PT" w:eastAsia="fr-FR"/>
        </w:rPr>
      </w:pPr>
      <w:bookmarkStart w:id="28" w:name="_Toc256079740"/>
      <w:bookmarkStart w:id="29" w:name="_Toc256786790"/>
      <w:bookmarkStart w:id="30" w:name="_Toc256848900"/>
      <w:bookmarkStart w:id="31" w:name="_Toc257107916"/>
      <w:bookmarkStart w:id="32" w:name="_Toc257467120"/>
      <w:bookmarkStart w:id="33" w:name="_Toc257468060"/>
      <w:bookmarkStart w:id="34" w:name="_Toc303445577"/>
      <w:bookmarkStart w:id="35" w:name="_Toc310349148"/>
      <w:bookmarkStart w:id="36" w:name="_Toc312839621"/>
      <w:bookmarkStart w:id="37" w:name="_Toc312840242"/>
      <w:bookmarkStart w:id="38" w:name="_Toc317090258"/>
      <w:bookmarkStart w:id="39" w:name="_Toc317163959"/>
      <w:bookmarkStart w:id="40" w:name="_Toc320465599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  <w:lang w:val="pt-PT" w:eastAsia="fr-FR"/>
        </w:rPr>
        <w:t>Vias marítimas Internas.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  <w:lang w:val="pt-PT" w:eastAsia="fr-FR"/>
        </w:rPr>
        <w:t xml:space="preserve"> </w:t>
      </w:r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</w:p>
    <w:p w:rsidR="00D33A29" w:rsidRPr="00D33A29" w:rsidRDefault="00D33A29" w:rsidP="00D33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 w:rsidRPr="00D33A29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 xml:space="preserve">“Vias marítimas </w:t>
      </w:r>
      <w:r w:rsidRPr="00D33A29">
        <w:rPr>
          <w:rFonts w:ascii="Times New Roman" w:eastAsia="Times New Roman" w:hAnsi="Times New Roman" w:cs="Times New Roman"/>
          <w:sz w:val="24"/>
          <w:szCs w:val="24"/>
          <w:lang w:val="pt-PT"/>
        </w:rPr>
        <w:t>Internas" significa quaisquer rios navegáveis, córregos, lagos, marismas, lagoas, abaixo da linha de base de água ou canal que conduz ao tal lugar com instalações de navios para atracar e carregar ou descarregar, incluindo instalações e movimentação de navios de carga, porto, atracadouros, molhes, pontões ou bóias e cais, dentro dos limites das vias marítimas internas, em qualquer lugar num país e inclui qualquer local declarado como sendo uma via marítima interna ao abrigo da legislação nacional.</w:t>
      </w:r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</w:p>
    <w:p w:rsidR="00D33A29" w:rsidRPr="00D33A29" w:rsidRDefault="00D33A29" w:rsidP="00D33A29">
      <w:pPr>
        <w:keepNext/>
        <w:numPr>
          <w:ilvl w:val="0"/>
          <w:numId w:val="2"/>
        </w:numPr>
        <w:spacing w:after="0" w:line="240" w:lineRule="auto"/>
        <w:ind w:left="810" w:hanging="90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bookmarkStart w:id="41" w:name="_Toc256079741"/>
      <w:bookmarkStart w:id="42" w:name="_Toc256786791"/>
      <w:bookmarkStart w:id="43" w:name="_Toc256848901"/>
      <w:bookmarkStart w:id="44" w:name="_Toc257107917"/>
      <w:bookmarkStart w:id="45" w:name="_Toc257467121"/>
      <w:bookmarkStart w:id="46" w:name="_Toc257468061"/>
      <w:bookmarkStart w:id="47" w:name="_Toc303445578"/>
      <w:bookmarkStart w:id="48" w:name="_Toc310349149"/>
      <w:bookmarkStart w:id="49" w:name="_Toc312839622"/>
      <w:bookmarkStart w:id="50" w:name="_Toc312840243"/>
      <w:bookmarkStart w:id="51" w:name="_Toc317090259"/>
      <w:bookmarkStart w:id="52" w:name="_Toc317163960"/>
      <w:bookmarkStart w:id="53" w:name="_Toc320465600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</w:rPr>
        <w:t>Região.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33A29" w:rsidRPr="00D33A29" w:rsidRDefault="00D33A29" w:rsidP="00D33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 w:rsidRPr="00D33A29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 xml:space="preserve">“Região” significa as regiões da UA tal como estabelecidas pela Resolução CM/Res.464 (XXVI) do Conselho dos Ministros da Organização da Unidade Africana sobre a divisão da África em cinco (5) regiões, nomeadamente: África do Norte, Ocidental, Central, Oriental e Austral. </w:t>
      </w:r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</w:p>
    <w:p w:rsidR="00D33A29" w:rsidRPr="00D33A29" w:rsidRDefault="00D33A29" w:rsidP="00D33A29">
      <w:pPr>
        <w:keepNext/>
        <w:numPr>
          <w:ilvl w:val="0"/>
          <w:numId w:val="2"/>
        </w:numPr>
        <w:spacing w:after="0" w:line="240" w:lineRule="auto"/>
        <w:ind w:hanging="810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bookmarkStart w:id="54" w:name="_Toc255833965"/>
      <w:bookmarkStart w:id="55" w:name="_Toc256079742"/>
      <w:bookmarkStart w:id="56" w:name="_Toc256786792"/>
      <w:bookmarkStart w:id="57" w:name="_Toc256848902"/>
      <w:bookmarkStart w:id="58" w:name="_Toc257107918"/>
      <w:bookmarkStart w:id="59" w:name="_Toc257467122"/>
      <w:bookmarkStart w:id="60" w:name="_Toc257468062"/>
      <w:bookmarkStart w:id="61" w:name="_Toc303445579"/>
      <w:bookmarkStart w:id="62" w:name="_Toc310349150"/>
      <w:bookmarkStart w:id="63" w:name="_Toc312839623"/>
      <w:bookmarkStart w:id="64" w:name="_Toc312840244"/>
      <w:bookmarkStart w:id="65" w:name="_Toc317090260"/>
      <w:bookmarkStart w:id="66" w:name="_Toc317163961"/>
      <w:bookmarkStart w:id="67" w:name="_Toc320465601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</w:rPr>
        <w:t>Segurança.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33A29" w:rsidRPr="00D33A29" w:rsidRDefault="00D33A29" w:rsidP="00D33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 w:rsidRPr="00D33A29">
        <w:rPr>
          <w:rFonts w:ascii="Times New Roman" w:eastAsia="Times New Roman" w:hAnsi="Times New Roman" w:cs="Times New Roman"/>
          <w:sz w:val="24"/>
          <w:szCs w:val="24"/>
          <w:lang w:val="pt-PT"/>
        </w:rPr>
        <w:t>Uma abordagem centrada no mar para "Segurança" abrange todas as noções tradicionais, Estatais, regionais e continentais para a protecção dos Estados e regiões do continente. Esta protecção pode ser garantida por meios militares e não militares. A ênfase é colocada na segurança humana. A segurança humana abarca direitos humanos, direitos económicos, o direito de participação popular no processo de tomada de decisões e outras questões de desenvolvimento. O desafio, portanto, será a forma de aplicação e de acesso, recursos e necessidades básicas da vida, direito à protecção contra ameaças como a fome e a pobreza, instalações de educação e saúde, a protecção contra a marginalização com base no género, e de vigilância contra a degradação ecológica e ambiental. No âmbito desta estratégia AIM, o foco estará sobre as principais questões de segurança, protecção, prosperidade e viabilidade marítimas.</w:t>
      </w:r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</w:p>
    <w:p w:rsidR="00D33A29" w:rsidRPr="00D33A29" w:rsidRDefault="00D33A29" w:rsidP="00D33A29">
      <w:pPr>
        <w:keepNext/>
        <w:numPr>
          <w:ilvl w:val="0"/>
          <w:numId w:val="2"/>
        </w:numPr>
        <w:spacing w:after="0" w:line="240" w:lineRule="auto"/>
        <w:ind w:hanging="810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bookmarkStart w:id="68" w:name="_Toc255833966"/>
      <w:bookmarkStart w:id="69" w:name="_Toc256079743"/>
      <w:bookmarkStart w:id="70" w:name="_Toc256786793"/>
      <w:bookmarkStart w:id="71" w:name="_Toc256848903"/>
      <w:bookmarkStart w:id="72" w:name="_Toc257107919"/>
      <w:bookmarkStart w:id="73" w:name="_Toc257467123"/>
      <w:bookmarkStart w:id="74" w:name="_Toc257468063"/>
      <w:bookmarkStart w:id="75" w:name="_Toc303445580"/>
      <w:bookmarkStart w:id="76" w:name="_Toc310349151"/>
      <w:bookmarkStart w:id="77" w:name="_Toc312839624"/>
      <w:bookmarkStart w:id="78" w:name="_Toc312840245"/>
      <w:bookmarkStart w:id="79" w:name="_Toc317090261"/>
      <w:bookmarkStart w:id="80" w:name="_Toc317163962"/>
      <w:bookmarkStart w:id="81" w:name="_Toc320465602"/>
      <w:proofErr w:type="spellStart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</w:rPr>
        <w:t>Segurança</w:t>
      </w:r>
      <w:proofErr w:type="spellEnd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</w:rPr>
        <w:t>Marítima</w:t>
      </w:r>
      <w:proofErr w:type="spellEnd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</w:rPr>
        <w:t>.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33A29" w:rsidRPr="00D33A29" w:rsidRDefault="00D33A29" w:rsidP="00D33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 w:rsidRPr="00D33A29">
        <w:rPr>
          <w:rFonts w:ascii="Times New Roman" w:eastAsia="Times New Roman" w:hAnsi="Times New Roman" w:cs="Times New Roman"/>
          <w:sz w:val="24"/>
          <w:szCs w:val="24"/>
          <w:lang w:val="pt-PT"/>
        </w:rPr>
        <w:t>O conceito de "Segurança Marítima" centrar-se-á na melhoria do desenvolvimento socioeconómico sustentado, na condição que reflecte a capacidade das entidades públicas e privadas para realização de actividades legitimadas, como exercício de direitos soberanos e jurisdicionais, extracção de recursos, comércio, transporte e turismo, livre de ameaças ou prejuízos resultantes de actos ilegais ou agressão, para uma África integrada e próspera.</w:t>
      </w:r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</w:p>
    <w:p w:rsidR="00D33A29" w:rsidRPr="00D33A29" w:rsidRDefault="00D33A29" w:rsidP="00D33A29">
      <w:pPr>
        <w:keepNext/>
        <w:numPr>
          <w:ilvl w:val="0"/>
          <w:numId w:val="2"/>
        </w:numPr>
        <w:spacing w:after="0" w:line="240" w:lineRule="auto"/>
        <w:ind w:left="810" w:hanging="90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bookmarkStart w:id="82" w:name="_Toc255833967"/>
      <w:bookmarkStart w:id="83" w:name="_Toc256079744"/>
      <w:bookmarkStart w:id="84" w:name="_Toc256786794"/>
      <w:bookmarkStart w:id="85" w:name="_Toc256848904"/>
      <w:bookmarkStart w:id="86" w:name="_Toc257107920"/>
      <w:bookmarkStart w:id="87" w:name="_Toc257467124"/>
      <w:bookmarkStart w:id="88" w:name="_Toc257468064"/>
      <w:bookmarkStart w:id="89" w:name="_Toc303445581"/>
      <w:bookmarkStart w:id="90" w:name="_Toc310349152"/>
      <w:bookmarkStart w:id="91" w:name="_Toc312839625"/>
      <w:bookmarkStart w:id="92" w:name="_Toc312840246"/>
      <w:bookmarkStart w:id="93" w:name="_Toc317090262"/>
      <w:bookmarkStart w:id="94" w:name="_Toc317163963"/>
      <w:bookmarkStart w:id="95" w:name="_Toc320465603"/>
      <w:proofErr w:type="spellStart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Protecção</w:t>
      </w:r>
      <w:proofErr w:type="spellEnd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Marítima</w:t>
      </w:r>
      <w:proofErr w:type="spellEnd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.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33A29" w:rsidRPr="00D33A29" w:rsidRDefault="00D33A29" w:rsidP="00D33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 w:rsidRPr="00D33A29">
        <w:rPr>
          <w:rFonts w:ascii="Times New Roman" w:eastAsia="Times New Roman" w:hAnsi="Times New Roman" w:cs="Times New Roman"/>
          <w:sz w:val="24"/>
          <w:szCs w:val="24"/>
          <w:lang w:val="pt-PT"/>
        </w:rPr>
        <w:t>O conceito de "Protecção Marítima" centrar-se-á no reforço do desenvolvimento socioeconómico sustentado, na condição que reflecte a capacidade das entidades públicas e privadas para realização de actividades legitimadas, como a protecção territorial, a extracção de recursos, transporte, comércio e turismo, livre de ameaças ou prejuízos decorrentes de acidentes, negligência, desastres naturais e provocados pelo homem, para uma África integrada e próspera.</w:t>
      </w:r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</w:p>
    <w:p w:rsidR="00D33A29" w:rsidRPr="00D33A29" w:rsidRDefault="00D33A29" w:rsidP="00D33A29">
      <w:pPr>
        <w:keepNext/>
        <w:numPr>
          <w:ilvl w:val="0"/>
          <w:numId w:val="2"/>
        </w:numPr>
        <w:spacing w:after="0" w:line="240" w:lineRule="auto"/>
        <w:ind w:left="810" w:hanging="90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bookmarkStart w:id="96" w:name="_Toc255833968"/>
      <w:bookmarkStart w:id="97" w:name="_Toc256079745"/>
      <w:bookmarkStart w:id="98" w:name="_Toc256786795"/>
      <w:bookmarkStart w:id="99" w:name="_Toc256848905"/>
      <w:bookmarkStart w:id="100" w:name="_Toc257107921"/>
      <w:bookmarkStart w:id="101" w:name="_Toc257467125"/>
      <w:bookmarkStart w:id="102" w:name="_Toc257468065"/>
      <w:bookmarkStart w:id="103" w:name="_Toc303445582"/>
      <w:bookmarkStart w:id="104" w:name="_Toc310349153"/>
      <w:bookmarkStart w:id="105" w:name="_Toc312839626"/>
      <w:bookmarkStart w:id="106" w:name="_Toc312840247"/>
      <w:bookmarkStart w:id="107" w:name="_Toc317090263"/>
      <w:bookmarkStart w:id="108" w:name="_Toc317163964"/>
      <w:bookmarkStart w:id="109" w:name="_Toc320465604"/>
      <w:proofErr w:type="spellStart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Prosperidade</w:t>
      </w:r>
      <w:proofErr w:type="spellEnd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Marítima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proofErr w:type="spellEnd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.</w:t>
      </w:r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33A29" w:rsidRPr="00D33A29" w:rsidRDefault="00D33A29" w:rsidP="00D33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 w:rsidRPr="00D33A29">
        <w:rPr>
          <w:rFonts w:ascii="Times New Roman" w:eastAsia="Times New Roman" w:hAnsi="Times New Roman" w:cs="Times New Roman"/>
          <w:sz w:val="24"/>
          <w:szCs w:val="24"/>
          <w:lang w:val="pt-PT"/>
        </w:rPr>
        <w:t>"Prosperidade Marítima" é a condição que descreve o real valor acrescentado pelas actividades marítimas medido por recursos colhidos, riqueza obtida, investimento e pela dignidade dos cidadãos africanos. Prosperidade Marítima implicará a cooperação e coordenação em todos os níveis regionais para garantir o seu usufruto pelos povos africanos.</w:t>
      </w:r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</w:p>
    <w:p w:rsidR="00D33A29" w:rsidRPr="00D33A29" w:rsidRDefault="00D33A29" w:rsidP="00D33A29">
      <w:pPr>
        <w:keepNext/>
        <w:numPr>
          <w:ilvl w:val="0"/>
          <w:numId w:val="2"/>
        </w:numPr>
        <w:spacing w:after="0" w:line="240" w:lineRule="auto"/>
        <w:ind w:left="900" w:hanging="90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bookmarkStart w:id="110" w:name="_Toc255833969"/>
      <w:bookmarkStart w:id="111" w:name="_Toc256079746"/>
      <w:bookmarkStart w:id="112" w:name="_Toc256786796"/>
      <w:bookmarkStart w:id="113" w:name="_Toc256848906"/>
      <w:bookmarkStart w:id="114" w:name="_Toc257107922"/>
      <w:bookmarkStart w:id="115" w:name="_Toc257467126"/>
      <w:bookmarkStart w:id="116" w:name="_Toc257468066"/>
      <w:bookmarkStart w:id="117" w:name="_Toc303445583"/>
      <w:bookmarkStart w:id="118" w:name="_Toc310349154"/>
      <w:bookmarkStart w:id="119" w:name="_Toc312839627"/>
      <w:bookmarkStart w:id="120" w:name="_Toc312840248"/>
      <w:bookmarkStart w:id="121" w:name="_Toc317090264"/>
      <w:bookmarkStart w:id="122" w:name="_Toc317163965"/>
      <w:bookmarkStart w:id="123" w:name="_Toc320465605"/>
      <w:proofErr w:type="spellStart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</w:rPr>
        <w:t>Sustentabilidade</w:t>
      </w:r>
      <w:proofErr w:type="spellEnd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</w:rPr>
        <w:t>Marítima</w:t>
      </w:r>
      <w:proofErr w:type="spellEnd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</w:rPr>
        <w:t>.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33A29" w:rsidRPr="00D33A29" w:rsidRDefault="00D33A29" w:rsidP="00D33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 w:rsidRPr="00D33A29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>“</w:t>
      </w:r>
      <w:r w:rsidRPr="00D33A29">
        <w:rPr>
          <w:rFonts w:ascii="Times New Roman" w:eastAsia="Times New Roman" w:hAnsi="Times New Roman" w:cs="Times New Roman"/>
          <w:sz w:val="24"/>
          <w:szCs w:val="24"/>
          <w:lang w:val="pt-PT"/>
        </w:rPr>
        <w:t>Sustentabilidade Marítima" é a condição que descreve a capacidade de desenvolver actividades marítimas ao longo do tempo em termos de desenvolvimento e manutenção de infra-estrutura, disponibilidade de equipamentos, e equilíbrio de recursos renováveis ​​para uma África integrada e próspera.</w:t>
      </w:r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</w:p>
    <w:p w:rsidR="00D33A29" w:rsidRPr="00D33A29" w:rsidRDefault="00D33A29" w:rsidP="00D33A29">
      <w:pPr>
        <w:keepNext/>
        <w:numPr>
          <w:ilvl w:val="0"/>
          <w:numId w:val="2"/>
        </w:numPr>
        <w:spacing w:after="0" w:line="240" w:lineRule="auto"/>
        <w:ind w:left="900" w:hanging="270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bookmarkStart w:id="124" w:name="_Toc255833970"/>
      <w:bookmarkStart w:id="125" w:name="_Toc256079747"/>
      <w:bookmarkStart w:id="126" w:name="_Toc256786797"/>
      <w:bookmarkStart w:id="127" w:name="_Toc256848907"/>
      <w:bookmarkStart w:id="128" w:name="_Toc257107923"/>
      <w:bookmarkStart w:id="129" w:name="_Toc257467127"/>
      <w:bookmarkStart w:id="130" w:name="_Toc257468067"/>
      <w:bookmarkStart w:id="131" w:name="_Toc303445584"/>
      <w:bookmarkStart w:id="132" w:name="_Toc310349155"/>
      <w:bookmarkStart w:id="133" w:name="_Toc312839628"/>
      <w:bookmarkStart w:id="134" w:name="_Toc312840249"/>
      <w:bookmarkStart w:id="135" w:name="_Toc317090265"/>
      <w:bookmarkStart w:id="136" w:name="_Toc317163966"/>
      <w:bookmarkStart w:id="137" w:name="_Toc320465606"/>
      <w:proofErr w:type="spellStart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</w:rPr>
        <w:t>Viabilidade</w:t>
      </w:r>
      <w:proofErr w:type="spellEnd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</w:rPr>
        <w:t>Marítima</w:t>
      </w:r>
      <w:proofErr w:type="spellEnd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</w:rPr>
        <w:t>.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33A29" w:rsidRPr="00D33A29" w:rsidRDefault="00D33A29" w:rsidP="00D33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 w:rsidRPr="00D33A29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>“</w:t>
      </w:r>
      <w:r w:rsidRPr="00D33A29">
        <w:rPr>
          <w:rFonts w:ascii="Times New Roman" w:eastAsia="Times New Roman" w:hAnsi="Times New Roman" w:cs="Times New Roman"/>
          <w:sz w:val="24"/>
          <w:szCs w:val="24"/>
          <w:lang w:val="pt-PT"/>
        </w:rPr>
        <w:t>Viabilidade Marítima" é o valor composto das quatro anteriores condições marítimas interligadas (Segurança, Protecção, Prosperidade e Sustentabilidade). Este valor será utiliz</w:t>
      </w:r>
      <w:r w:rsidR="0061374C">
        <w:rPr>
          <w:rFonts w:ascii="Times New Roman" w:eastAsia="Times New Roman" w:hAnsi="Times New Roman" w:cs="Times New Roman"/>
          <w:sz w:val="24"/>
          <w:szCs w:val="24"/>
          <w:lang w:val="pt-PT"/>
        </w:rPr>
        <w:t>ado pelas partes interessadas do</w:t>
      </w:r>
      <w:r w:rsidRPr="00D33A2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DMA para completar as avaliações, realizar SWOT</w:t>
      </w:r>
      <w:r w:rsidR="0061374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(</w:t>
      </w:r>
      <w:r w:rsidR="0061374C" w:rsidRPr="00FA76B9">
        <w:rPr>
          <w:spacing w:val="1"/>
          <w:lang w:val="pt-PT"/>
        </w:rPr>
        <w:t>Forças, Fraquezas, Oportunidades e Ameaças</w:t>
      </w:r>
      <w:r w:rsidR="0061374C">
        <w:rPr>
          <w:spacing w:val="1"/>
          <w:lang w:val="pt-PT"/>
        </w:rPr>
        <w:t>)</w:t>
      </w:r>
      <w:r w:rsidRPr="00D33A2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 análise de lacunas, e executar programas de reforce de capacidades para reduzir todas as ameaças, vulnerabilidades e prejuízos, e para conseguir melhores benefícios e dignidade, para uma África integrada e próspera.</w:t>
      </w:r>
    </w:p>
    <w:p w:rsidR="00D33A29" w:rsidRPr="00D33A29" w:rsidRDefault="00D33A29" w:rsidP="00D33A29">
      <w:pPr>
        <w:keepNext/>
        <w:spacing w:after="0" w:line="240" w:lineRule="auto"/>
        <w:ind w:left="360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val="pt-PT"/>
        </w:rPr>
      </w:pPr>
    </w:p>
    <w:p w:rsidR="00D33A29" w:rsidRPr="00D33A29" w:rsidRDefault="00D33A29" w:rsidP="00D33A29">
      <w:pPr>
        <w:keepNext/>
        <w:spacing w:after="0" w:line="240" w:lineRule="auto"/>
        <w:ind w:left="360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val="pt-PT"/>
        </w:rPr>
      </w:pPr>
      <w:bookmarkStart w:id="138" w:name="_Toc320465607"/>
      <w:proofErr w:type="gramStart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  <w:lang w:val="pt-PT"/>
        </w:rPr>
        <w:t>x</w:t>
      </w:r>
      <w:proofErr w:type="gramEnd"/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  <w:lang w:val="pt-PT"/>
        </w:rPr>
        <w:t>.</w:t>
      </w:r>
      <w:r w:rsidRPr="00D33A29">
        <w:rPr>
          <w:rFonts w:ascii="Bookman Old Style" w:eastAsia="Times New Roman" w:hAnsi="Bookman Old Style" w:cs="Times New Roman"/>
          <w:b/>
          <w:bCs/>
          <w:sz w:val="24"/>
          <w:szCs w:val="24"/>
          <w:lang w:val="pt-PT"/>
        </w:rPr>
        <w:tab/>
      </w:r>
      <w:bookmarkEnd w:id="138"/>
      <w:r w:rsidRPr="00D33A29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  <w:lang w:val="pt-PT"/>
        </w:rPr>
        <w:t>Zona Marítima Exclusiva Convencionada de África</w:t>
      </w:r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val="pt-PT" w:eastAsia="fr-FR"/>
        </w:rPr>
      </w:pPr>
    </w:p>
    <w:p w:rsidR="00D33A29" w:rsidRPr="00D33A29" w:rsidRDefault="00D33A29" w:rsidP="00D33A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 w:rsidRPr="00D33A2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Sem prejuízo de zonas marítimas, conforme estabelecido pela CNUDM para cada Nação, a Zona Marítima Exclusiva Convencionada de África (CEMZA) define uma zona marítima comum de todos os Estados Membros da UA. Isto para que seja uma zona marítima estável, </w:t>
      </w:r>
      <w:r w:rsidRPr="00D33A29">
        <w:rPr>
          <w:rFonts w:ascii="Times New Roman" w:eastAsia="Times New Roman" w:hAnsi="Times New Roman" w:cs="Times New Roman"/>
          <w:sz w:val="24"/>
          <w:szCs w:val="24"/>
          <w:lang w:val="pt-PT"/>
        </w:rPr>
        <w:lastRenderedPageBreak/>
        <w:t>segura e limpa com vista ao desenvolvimento e implementação de políticas comuns dos assuntos marítimos africanos para a gestão dos oceanos, mares e recursos fluviais africanos, bem como para os seus benefícios estratégicos multifacetados. A CEMZA concederá a África enormes benefícios transversais geoestratégicos, económicos, políticos, sociais e seguros, bem como enfraquecerá os riscos de todas as ameaças transnacionais, incluindo o crime organizado e o terrorismo em África.</w:t>
      </w:r>
      <w:bookmarkStart w:id="139" w:name="_GoBack"/>
      <w:bookmarkEnd w:id="139"/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</w:p>
    <w:p w:rsidR="00D33A29" w:rsidRPr="00D33A29" w:rsidRDefault="00D33A29" w:rsidP="00D33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</w:p>
    <w:p w:rsidR="00BB6E4E" w:rsidRPr="00D33A29" w:rsidRDefault="00BB6E4E">
      <w:pPr>
        <w:rPr>
          <w:lang w:val="pt-PT"/>
        </w:rPr>
      </w:pPr>
    </w:p>
    <w:sectPr w:rsidR="00BB6E4E" w:rsidRPr="00D33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D8" w:rsidRDefault="00445BD8" w:rsidP="00D33A29">
      <w:pPr>
        <w:spacing w:after="0" w:line="240" w:lineRule="auto"/>
      </w:pPr>
      <w:r>
        <w:separator/>
      </w:r>
    </w:p>
  </w:endnote>
  <w:endnote w:type="continuationSeparator" w:id="0">
    <w:p w:rsidR="00445BD8" w:rsidRDefault="00445BD8" w:rsidP="00D3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D8" w:rsidRDefault="00445BD8" w:rsidP="00D33A29">
      <w:pPr>
        <w:spacing w:after="0" w:line="240" w:lineRule="auto"/>
      </w:pPr>
      <w:r>
        <w:separator/>
      </w:r>
    </w:p>
  </w:footnote>
  <w:footnote w:type="continuationSeparator" w:id="0">
    <w:p w:rsidR="00445BD8" w:rsidRDefault="00445BD8" w:rsidP="00D3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528"/>
    <w:multiLevelType w:val="hybridMultilevel"/>
    <w:tmpl w:val="BCEC4E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BF46A3"/>
    <w:multiLevelType w:val="hybridMultilevel"/>
    <w:tmpl w:val="2AB01A24"/>
    <w:lvl w:ilvl="0" w:tplc="0409001B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54DC9"/>
    <w:multiLevelType w:val="hybridMultilevel"/>
    <w:tmpl w:val="8DDCD4BE"/>
    <w:lvl w:ilvl="0" w:tplc="0409000F">
      <w:start w:val="1"/>
      <w:numFmt w:val="upperRoman"/>
      <w:lvlText w:val="%1."/>
      <w:lvlJc w:val="right"/>
      <w:pPr>
        <w:ind w:left="360" w:hanging="360"/>
      </w:pPr>
    </w:lvl>
    <w:lvl w:ilvl="1" w:tplc="04090017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29"/>
    <w:rsid w:val="00445BD8"/>
    <w:rsid w:val="00590A96"/>
    <w:rsid w:val="0061374C"/>
    <w:rsid w:val="00BB6E4E"/>
    <w:rsid w:val="00D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33A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A29"/>
    <w:rPr>
      <w:sz w:val="20"/>
      <w:szCs w:val="20"/>
    </w:rPr>
  </w:style>
  <w:style w:type="character" w:styleId="FootnoteReference">
    <w:name w:val="footnote reference"/>
    <w:unhideWhenUsed/>
    <w:rsid w:val="00D33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33A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A29"/>
    <w:rPr>
      <w:sz w:val="20"/>
      <w:szCs w:val="20"/>
    </w:rPr>
  </w:style>
  <w:style w:type="character" w:styleId="FootnoteReference">
    <w:name w:val="footnote reference"/>
    <w:unhideWhenUsed/>
    <w:rsid w:val="00D33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Shimbidi</dc:creator>
  <cp:lastModifiedBy>Emmanuel Shimbidi</cp:lastModifiedBy>
  <cp:revision>2</cp:revision>
  <dcterms:created xsi:type="dcterms:W3CDTF">2012-11-12T08:22:00Z</dcterms:created>
  <dcterms:modified xsi:type="dcterms:W3CDTF">2012-11-12T09:40:00Z</dcterms:modified>
</cp:coreProperties>
</file>