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FA" w:rsidRDefault="001837FA" w:rsidP="001837FA">
      <w:pPr>
        <w:jc w:val="center"/>
        <w:rPr>
          <w:b/>
          <w:bCs/>
        </w:rPr>
      </w:pPr>
      <w:bookmarkStart w:id="0" w:name="_GoBack"/>
      <w:bookmarkEnd w:id="0"/>
    </w:p>
    <w:p w:rsidR="001837FA" w:rsidRDefault="001837FA" w:rsidP="001837FA">
      <w:pPr>
        <w:jc w:val="center"/>
        <w:rPr>
          <w:b/>
          <w:bCs/>
        </w:rPr>
      </w:pPr>
    </w:p>
    <w:p w:rsidR="001837FA" w:rsidRDefault="001837FA" w:rsidP="001837FA">
      <w:pPr>
        <w:jc w:val="center"/>
        <w:rPr>
          <w:b/>
          <w:bCs/>
        </w:rPr>
      </w:pPr>
    </w:p>
    <w:p w:rsidR="001837FA" w:rsidRDefault="001837FA" w:rsidP="001837FA">
      <w:pPr>
        <w:jc w:val="center"/>
        <w:rPr>
          <w:b/>
          <w:bCs/>
        </w:rPr>
      </w:pPr>
    </w:p>
    <w:p w:rsidR="001837FA" w:rsidRDefault="001837FA" w:rsidP="001837FA">
      <w:pPr>
        <w:jc w:val="center"/>
        <w:rPr>
          <w:b/>
          <w:bCs/>
        </w:rPr>
      </w:pPr>
    </w:p>
    <w:p w:rsidR="001837FA" w:rsidRDefault="001837FA" w:rsidP="001837FA">
      <w:pPr>
        <w:jc w:val="center"/>
        <w:rPr>
          <w:b/>
          <w:bCs/>
        </w:rPr>
      </w:pPr>
    </w:p>
    <w:p w:rsidR="001837FA" w:rsidRDefault="001837FA" w:rsidP="001837FA">
      <w:pPr>
        <w:jc w:val="center"/>
        <w:rPr>
          <w:b/>
          <w:bCs/>
        </w:rPr>
      </w:pPr>
    </w:p>
    <w:p w:rsidR="001837FA" w:rsidRDefault="001837FA" w:rsidP="001837FA">
      <w:pPr>
        <w:jc w:val="center"/>
        <w:rPr>
          <w:b/>
          <w:bCs/>
        </w:rPr>
      </w:pPr>
    </w:p>
    <w:p w:rsidR="001837FA" w:rsidRPr="00443BA0" w:rsidRDefault="001837FA" w:rsidP="001837FA">
      <w:pPr>
        <w:jc w:val="center"/>
        <w:rPr>
          <w:b/>
          <w:bCs/>
          <w:sz w:val="32"/>
        </w:rPr>
      </w:pPr>
      <w:r w:rsidRPr="00443BA0">
        <w:rPr>
          <w:b/>
          <w:bCs/>
          <w:sz w:val="32"/>
        </w:rPr>
        <w:t>AU DECLARATION ON LAND ISSUES AND CHALLENGES: A REVIEW OF PROGRESS MADE</w:t>
      </w:r>
    </w:p>
    <w:p w:rsidR="001837FA" w:rsidRPr="00443BA0" w:rsidRDefault="001837FA" w:rsidP="001837FA">
      <w:pPr>
        <w:jc w:val="center"/>
        <w:rPr>
          <w:b/>
          <w:bCs/>
          <w:sz w:val="28"/>
        </w:rPr>
      </w:pPr>
    </w:p>
    <w:p w:rsidR="001837FA" w:rsidRPr="00443BA0" w:rsidRDefault="001837FA" w:rsidP="001837FA">
      <w:pPr>
        <w:rPr>
          <w:b/>
          <w:sz w:val="32"/>
        </w:rPr>
      </w:pPr>
    </w:p>
    <w:p w:rsidR="001837FA" w:rsidRPr="00443BA0" w:rsidRDefault="001837FA" w:rsidP="001837FA">
      <w:pPr>
        <w:jc w:val="center"/>
        <w:rPr>
          <w:b/>
          <w:bCs/>
          <w:sz w:val="32"/>
        </w:rPr>
      </w:pPr>
      <w:r w:rsidRPr="00443BA0">
        <w:rPr>
          <w:b/>
          <w:bCs/>
          <w:sz w:val="32"/>
        </w:rPr>
        <w:t xml:space="preserve">A Report to the </w:t>
      </w:r>
    </w:p>
    <w:p w:rsidR="001837FA" w:rsidRDefault="001837FA" w:rsidP="001837FA">
      <w:pPr>
        <w:pStyle w:val="ListParagraph"/>
        <w:ind w:left="0"/>
        <w:jc w:val="center"/>
        <w:rPr>
          <w:b/>
          <w:sz w:val="32"/>
        </w:rPr>
      </w:pPr>
      <w:r w:rsidRPr="00443BA0">
        <w:rPr>
          <w:b/>
          <w:sz w:val="32"/>
        </w:rPr>
        <w:t xml:space="preserve">Conference of the Specialized Technical Committee on Agriculture, Rural Development, Water and Environment </w:t>
      </w:r>
    </w:p>
    <w:p w:rsidR="00045316" w:rsidRDefault="00045316" w:rsidP="001837FA">
      <w:pPr>
        <w:pStyle w:val="ListParagraph"/>
        <w:ind w:left="0"/>
        <w:jc w:val="center"/>
        <w:rPr>
          <w:b/>
          <w:sz w:val="32"/>
        </w:rPr>
      </w:pPr>
    </w:p>
    <w:p w:rsidR="00045316" w:rsidRDefault="00045316" w:rsidP="001837FA">
      <w:pPr>
        <w:pStyle w:val="ListParagraph"/>
        <w:ind w:left="0"/>
        <w:jc w:val="center"/>
        <w:rPr>
          <w:b/>
          <w:sz w:val="32"/>
        </w:rPr>
      </w:pPr>
    </w:p>
    <w:p w:rsidR="00045316" w:rsidRDefault="00045316" w:rsidP="001837FA">
      <w:pPr>
        <w:pStyle w:val="ListParagraph"/>
        <w:ind w:left="0"/>
        <w:jc w:val="center"/>
        <w:rPr>
          <w:b/>
          <w:sz w:val="32"/>
        </w:rPr>
      </w:pPr>
    </w:p>
    <w:p w:rsidR="001837FA" w:rsidRDefault="001837FA" w:rsidP="00045316">
      <w:pPr>
        <w:spacing w:after="160" w:line="259" w:lineRule="auto"/>
        <w:jc w:val="center"/>
        <w:rPr>
          <w:b/>
          <w:bCs/>
          <w:sz w:val="32"/>
        </w:rPr>
      </w:pPr>
      <w:r>
        <w:rPr>
          <w:b/>
          <w:bCs/>
          <w:sz w:val="32"/>
        </w:rPr>
        <w:t>October 2017</w:t>
      </w:r>
    </w:p>
    <w:p w:rsidR="001837FA" w:rsidRDefault="001837FA">
      <w:pPr>
        <w:spacing w:after="160" w:line="259" w:lineRule="auto"/>
        <w:rPr>
          <w:b/>
          <w:bCs/>
          <w:sz w:val="32"/>
        </w:rPr>
      </w:pPr>
      <w:r>
        <w:rPr>
          <w:b/>
          <w:bCs/>
          <w:sz w:val="32"/>
        </w:rPr>
        <w:br w:type="page"/>
      </w:r>
    </w:p>
    <w:p w:rsidR="00861EAA" w:rsidRPr="000755B6" w:rsidRDefault="00861EAA" w:rsidP="00861EAA">
      <w:pPr>
        <w:pStyle w:val="ListParagraph"/>
        <w:ind w:left="0"/>
        <w:jc w:val="both"/>
        <w:rPr>
          <w:b/>
          <w:color w:val="0070C0"/>
          <w:sz w:val="28"/>
        </w:rPr>
      </w:pPr>
      <w:r w:rsidRPr="000755B6">
        <w:rPr>
          <w:b/>
          <w:color w:val="0070C0"/>
          <w:sz w:val="28"/>
        </w:rPr>
        <w:lastRenderedPageBreak/>
        <w:t>INTRODUCTION AND BACKGROUND</w:t>
      </w:r>
    </w:p>
    <w:p w:rsidR="00861EAA" w:rsidRDefault="00861EAA" w:rsidP="00861EAA">
      <w:pPr>
        <w:pStyle w:val="ListParagraph"/>
        <w:ind w:left="0"/>
        <w:jc w:val="both"/>
      </w:pPr>
    </w:p>
    <w:p w:rsidR="00861EAA" w:rsidRPr="00BA739A" w:rsidRDefault="00861EAA" w:rsidP="00D339C1">
      <w:pPr>
        <w:pStyle w:val="ListParagraph"/>
        <w:numPr>
          <w:ilvl w:val="0"/>
          <w:numId w:val="20"/>
        </w:numPr>
        <w:jc w:val="both"/>
      </w:pPr>
      <w:r>
        <w:t>This</w:t>
      </w:r>
      <w:r w:rsidRPr="004E254C">
        <w:t xml:space="preserve"> report </w:t>
      </w:r>
      <w:r>
        <w:t>summaris</w:t>
      </w:r>
      <w:r w:rsidRPr="004E254C">
        <w:t xml:space="preserve">es progress made in implementing key African Union (AU) decisions on land policy and </w:t>
      </w:r>
      <w:r>
        <w:t>governance</w:t>
      </w:r>
      <w:r w:rsidRPr="004E254C">
        <w:t>, including those made in the auspices of the AU Summit of Heads of State and Government in endorsing the</w:t>
      </w:r>
      <w:r>
        <w:t xml:space="preserve"> implementation plan for </w:t>
      </w:r>
      <w:r w:rsidR="003B30D3">
        <w:t xml:space="preserve">the </w:t>
      </w:r>
      <w:r>
        <w:t>AU Agenda 2063</w:t>
      </w:r>
      <w:r>
        <w:rPr>
          <w:rStyle w:val="FootnoteReference"/>
        </w:rPr>
        <w:footnoteReference w:id="1"/>
      </w:r>
      <w:r w:rsidR="003B30D3">
        <w:t>, and</w:t>
      </w:r>
      <w:r>
        <w:t xml:space="preserve"> the</w:t>
      </w:r>
      <w:r w:rsidRPr="004E254C">
        <w:t xml:space="preserve"> </w:t>
      </w:r>
      <w:r w:rsidRPr="004E254C">
        <w:rPr>
          <w:i/>
        </w:rPr>
        <w:t>Declaration on Land Issues and Challenges in Africa</w:t>
      </w:r>
      <w:r>
        <w:rPr>
          <w:i/>
        </w:rPr>
        <w:t>.</w:t>
      </w:r>
      <w:r w:rsidRPr="004E254C">
        <w:rPr>
          <w:rStyle w:val="FootnoteReference"/>
        </w:rPr>
        <w:footnoteReference w:id="2"/>
      </w:r>
      <w:r>
        <w:t xml:space="preserve"> </w:t>
      </w:r>
      <w:r w:rsidR="003B30D3">
        <w:t xml:space="preserve">Progress is also reported in actualizing recommendations/decisions of the </w:t>
      </w:r>
      <w:r w:rsidR="003B30D3" w:rsidRPr="004E254C">
        <w:t>Specialized</w:t>
      </w:r>
      <w:r w:rsidRPr="004E254C">
        <w:t xml:space="preserve"> Technical Committee (STC) on Agriculture, Rural Development, Water and Environment</w:t>
      </w:r>
      <w:r w:rsidR="003B30D3">
        <w:t>, and the</w:t>
      </w:r>
      <w:r w:rsidR="00A41798">
        <w:t xml:space="preserve"> Malabo</w:t>
      </w:r>
      <w:r w:rsidR="007E5A56">
        <w:t xml:space="preserve"> Declaration on Accelerated Agricultural Growth and Transformation for Shared Prosperity and Improved Livelihoods</w:t>
      </w:r>
      <w:r w:rsidR="007E5A56">
        <w:rPr>
          <w:rStyle w:val="FootnoteReference"/>
        </w:rPr>
        <w:t xml:space="preserve"> </w:t>
      </w:r>
      <w:r w:rsidR="00A41798">
        <w:rPr>
          <w:rStyle w:val="FootnoteReference"/>
        </w:rPr>
        <w:footnoteReference w:id="3"/>
      </w:r>
      <w:r w:rsidR="003B30D3">
        <w:t xml:space="preserve"> </w:t>
      </w:r>
      <w:r w:rsidRPr="004E254C">
        <w:t>. This report also highlights key findings of research conducted by the AUC-ECA-AfDB Land Policy Initiative (LPI) in the past two years</w:t>
      </w:r>
      <w:r w:rsidR="00213219">
        <w:t xml:space="preserve">  </w:t>
      </w:r>
      <w:r w:rsidRPr="004E254C">
        <w:rPr>
          <w:i/>
        </w:rPr>
        <w:t>on land, ethnicity and conflict in Africa</w:t>
      </w:r>
      <w:r w:rsidRPr="004E254C">
        <w:t>; The report ends with key recommendations.</w:t>
      </w:r>
    </w:p>
    <w:p w:rsidR="00CB4FFD" w:rsidRDefault="00CB4FFD" w:rsidP="00976670">
      <w:pPr>
        <w:pStyle w:val="ListParagraph"/>
        <w:tabs>
          <w:tab w:val="left" w:pos="5670"/>
        </w:tabs>
        <w:ind w:left="0"/>
        <w:jc w:val="both"/>
        <w:rPr>
          <w:b/>
          <w:color w:val="0070C0"/>
        </w:rPr>
      </w:pPr>
    </w:p>
    <w:p w:rsidR="00CB4FFD" w:rsidRDefault="00CB4FFD" w:rsidP="00976670">
      <w:pPr>
        <w:pStyle w:val="ListParagraph"/>
        <w:tabs>
          <w:tab w:val="left" w:pos="5670"/>
        </w:tabs>
        <w:ind w:left="0"/>
        <w:jc w:val="both"/>
        <w:rPr>
          <w:b/>
          <w:color w:val="0070C0"/>
        </w:rPr>
      </w:pPr>
    </w:p>
    <w:p w:rsidR="00E60797" w:rsidRPr="000755B6" w:rsidRDefault="00C73DCF" w:rsidP="00976670">
      <w:pPr>
        <w:pStyle w:val="ListParagraph"/>
        <w:tabs>
          <w:tab w:val="left" w:pos="5670"/>
        </w:tabs>
        <w:ind w:left="0"/>
        <w:jc w:val="both"/>
        <w:rPr>
          <w:b/>
          <w:color w:val="0070C0"/>
          <w:sz w:val="28"/>
        </w:rPr>
      </w:pPr>
      <w:r w:rsidRPr="000755B6">
        <w:rPr>
          <w:b/>
          <w:color w:val="0070C0"/>
          <w:sz w:val="28"/>
        </w:rPr>
        <w:t xml:space="preserve">PART I: KEY COMMITMENTS </w:t>
      </w:r>
      <w:r w:rsidR="00E60797" w:rsidRPr="000755B6">
        <w:rPr>
          <w:b/>
          <w:color w:val="0070C0"/>
          <w:sz w:val="28"/>
        </w:rPr>
        <w:t>ON</w:t>
      </w:r>
      <w:r w:rsidRPr="000755B6">
        <w:rPr>
          <w:b/>
          <w:color w:val="0070C0"/>
          <w:sz w:val="28"/>
        </w:rPr>
        <w:t xml:space="preserve"> LAND</w:t>
      </w:r>
      <w:r w:rsidR="00E60797" w:rsidRPr="000755B6">
        <w:rPr>
          <w:b/>
          <w:color w:val="0070C0"/>
          <w:sz w:val="28"/>
        </w:rPr>
        <w:t xml:space="preserve"> GOVERNANCE</w:t>
      </w:r>
    </w:p>
    <w:p w:rsidR="00E60797" w:rsidRDefault="00E60797" w:rsidP="00976670">
      <w:pPr>
        <w:pStyle w:val="ListParagraph"/>
        <w:tabs>
          <w:tab w:val="left" w:pos="5670"/>
        </w:tabs>
        <w:ind w:left="0"/>
        <w:jc w:val="both"/>
        <w:rPr>
          <w:b/>
          <w:color w:val="0070C0"/>
        </w:rPr>
      </w:pPr>
    </w:p>
    <w:p w:rsidR="00D5087B" w:rsidRDefault="00AC2BCB" w:rsidP="00D5087B">
      <w:pPr>
        <w:jc w:val="both"/>
        <w:rPr>
          <w:b/>
          <w:color w:val="000000" w:themeColor="text1"/>
        </w:rPr>
      </w:pPr>
      <w:r w:rsidRPr="00B90BB8">
        <w:rPr>
          <w:b/>
          <w:color w:val="000000" w:themeColor="text1"/>
        </w:rPr>
        <w:t xml:space="preserve">AU </w:t>
      </w:r>
      <w:r w:rsidR="00E81490" w:rsidRPr="00B90BB8">
        <w:rPr>
          <w:b/>
          <w:color w:val="000000" w:themeColor="text1"/>
        </w:rPr>
        <w:t xml:space="preserve">Agenda 2063 and </w:t>
      </w:r>
      <w:r w:rsidRPr="00B90BB8">
        <w:rPr>
          <w:b/>
          <w:color w:val="000000" w:themeColor="text1"/>
        </w:rPr>
        <w:t xml:space="preserve">UN </w:t>
      </w:r>
      <w:r w:rsidR="00E81490" w:rsidRPr="00B90BB8">
        <w:rPr>
          <w:b/>
          <w:color w:val="000000" w:themeColor="text1"/>
        </w:rPr>
        <w:t>Sustainable Development Goals</w:t>
      </w:r>
      <w:r w:rsidRPr="00B90BB8">
        <w:rPr>
          <w:b/>
          <w:color w:val="000000" w:themeColor="text1"/>
        </w:rPr>
        <w:t xml:space="preserve"> </w:t>
      </w:r>
      <w:r w:rsidR="00082549">
        <w:rPr>
          <w:b/>
          <w:color w:val="000000" w:themeColor="text1"/>
        </w:rPr>
        <w:t>(SDGs)</w:t>
      </w:r>
    </w:p>
    <w:p w:rsidR="00976670" w:rsidRPr="00B90BB8" w:rsidRDefault="00C73DCF" w:rsidP="00D5087B">
      <w:pPr>
        <w:jc w:val="both"/>
        <w:rPr>
          <w:b/>
          <w:color w:val="0070C0"/>
        </w:rPr>
      </w:pPr>
      <w:r w:rsidRPr="00B90BB8">
        <w:rPr>
          <w:b/>
          <w:color w:val="0070C0"/>
        </w:rPr>
        <w:tab/>
      </w:r>
    </w:p>
    <w:p w:rsidR="00066016" w:rsidRPr="00B90BB8" w:rsidRDefault="00066016" w:rsidP="00F936D0">
      <w:pPr>
        <w:pStyle w:val="ListParagraph"/>
        <w:numPr>
          <w:ilvl w:val="0"/>
          <w:numId w:val="20"/>
        </w:numPr>
        <w:jc w:val="both"/>
      </w:pPr>
      <w:r w:rsidRPr="00B90BB8">
        <w:t xml:space="preserve">Good land governance is cited as critical to achieving Agenda 2063, particularly goals related </w:t>
      </w:r>
      <w:r w:rsidR="000557F2" w:rsidRPr="00B90BB8">
        <w:t>to</w:t>
      </w:r>
      <w:r w:rsidRPr="00B90BB8">
        <w:t xml:space="preserve"> quality of life and well-being (AU Goal 1), agriculture (AU Goal 5), environment (AU goal 7), </w:t>
      </w:r>
      <w:r w:rsidR="00FD3CBE">
        <w:t xml:space="preserve">peace and security (AU Goal 13), </w:t>
      </w:r>
      <w:r w:rsidRPr="00B90BB8">
        <w:t xml:space="preserve">and gender equality (AU Goal 17). Similarly, achievement of the Sustainable Development Goals (SDGs) is underpinned by good land governance, </w:t>
      </w:r>
      <w:r w:rsidR="00FD3CBE">
        <w:t>especially</w:t>
      </w:r>
      <w:r w:rsidR="000557F2">
        <w:t xml:space="preserve"> </w:t>
      </w:r>
      <w:r w:rsidRPr="00B90BB8">
        <w:t>goals related to: eliminating poverty (SDG1)</w:t>
      </w:r>
      <w:r w:rsidR="000557F2">
        <w:t>;</w:t>
      </w:r>
      <w:r w:rsidRPr="00B90BB8">
        <w:t xml:space="preserve"> </w:t>
      </w:r>
      <w:r w:rsidR="00FD3CBE">
        <w:rPr>
          <w:bCs/>
        </w:rPr>
        <w:t>ending hunger</w:t>
      </w:r>
      <w:r w:rsidRPr="00F936D0">
        <w:rPr>
          <w:bCs/>
        </w:rPr>
        <w:t xml:space="preserve"> and promoting sustainable agriculture (SDG2)</w:t>
      </w:r>
      <w:r w:rsidR="000557F2">
        <w:rPr>
          <w:bCs/>
        </w:rPr>
        <w:t>;</w:t>
      </w:r>
      <w:r w:rsidR="00FD3CBE">
        <w:rPr>
          <w:bCs/>
        </w:rPr>
        <w:t xml:space="preserve"> </w:t>
      </w:r>
      <w:r w:rsidRPr="00F936D0">
        <w:rPr>
          <w:bCs/>
        </w:rPr>
        <w:t xml:space="preserve">gender equality and </w:t>
      </w:r>
      <w:r w:rsidR="00FD3CBE">
        <w:rPr>
          <w:bCs/>
        </w:rPr>
        <w:t xml:space="preserve">women </w:t>
      </w:r>
      <w:r w:rsidRPr="00F936D0">
        <w:rPr>
          <w:bCs/>
        </w:rPr>
        <w:t>empowerment (SDG5)</w:t>
      </w:r>
      <w:r w:rsidR="000557F2">
        <w:rPr>
          <w:bCs/>
        </w:rPr>
        <w:t>;</w:t>
      </w:r>
      <w:r w:rsidRPr="00F936D0">
        <w:rPr>
          <w:bCs/>
        </w:rPr>
        <w:t xml:space="preserve"> </w:t>
      </w:r>
      <w:r w:rsidRPr="00B90BB8">
        <w:t>inclusive Economic growth (SDG8)</w:t>
      </w:r>
      <w:r w:rsidR="000557F2">
        <w:t>;</w:t>
      </w:r>
      <w:r w:rsidRPr="00B90BB8">
        <w:t xml:space="preserve"> productive employment (SDG11)</w:t>
      </w:r>
      <w:r w:rsidR="000557F2">
        <w:t>;</w:t>
      </w:r>
      <w:r w:rsidRPr="00B90BB8">
        <w:t xml:space="preserve"> human settlements (SDG 11</w:t>
      </w:r>
      <w:r w:rsidR="000557F2">
        <w:t>)</w:t>
      </w:r>
      <w:r w:rsidR="00FD3CBE">
        <w:t>,</w:t>
      </w:r>
      <w:r w:rsidRPr="00B90BB8">
        <w:t xml:space="preserve"> and peaceful and inclusive societies (SDG16).  The ten</w:t>
      </w:r>
      <w:r w:rsidR="00163B55">
        <w:t>-</w:t>
      </w:r>
      <w:r w:rsidRPr="00B90BB8">
        <w:t xml:space="preserve">year implementation plan for Agenda 2063 is specific in citing the Land Policy Initiative (LPI) as an institution to promoting agricultural productivity and production, priority Area 1 of Goal 5 (agriculture). The key actions and milestones in this regard include aligning the agriculture investment plans (NAIPs) to Malabo targets by 2017. In addition to the goal related to agriculture, </w:t>
      </w:r>
      <w:r w:rsidR="00163B55">
        <w:t xml:space="preserve">the </w:t>
      </w:r>
      <w:r w:rsidRPr="00B90BB8">
        <w:t xml:space="preserve">implementation </w:t>
      </w:r>
      <w:r w:rsidR="00AA406C" w:rsidRPr="00B90BB8">
        <w:t>plan notes</w:t>
      </w:r>
      <w:r w:rsidRPr="00B90BB8">
        <w:t xml:space="preserve"> that a key strategy to achieve environmentally sustainable climate resilient economies and communities is to “implement fully the AU Framework and Guidelines on </w:t>
      </w:r>
      <w:r w:rsidR="005413C2">
        <w:t>L</w:t>
      </w:r>
      <w:r w:rsidRPr="00B90BB8">
        <w:t xml:space="preserve">and </w:t>
      </w:r>
      <w:r w:rsidR="005413C2">
        <w:t>P</w:t>
      </w:r>
      <w:r w:rsidR="005413C2" w:rsidRPr="00B90BB8">
        <w:t xml:space="preserve">olicy </w:t>
      </w:r>
      <w:r w:rsidRPr="00B90BB8">
        <w:t xml:space="preserve">in Africa” at the national level and “promote the domestication of the Framework and Guidelines… and </w:t>
      </w:r>
      <w:r w:rsidR="00163B55">
        <w:t>G</w:t>
      </w:r>
      <w:r w:rsidRPr="00B90BB8">
        <w:t xml:space="preserve">uiding </w:t>
      </w:r>
      <w:r w:rsidR="00163B55">
        <w:t>P</w:t>
      </w:r>
      <w:r w:rsidRPr="00B90BB8">
        <w:t xml:space="preserve">rinciples on </w:t>
      </w:r>
      <w:r w:rsidR="00163B55">
        <w:t>L</w:t>
      </w:r>
      <w:r w:rsidRPr="00B90BB8">
        <w:t xml:space="preserve">arge </w:t>
      </w:r>
      <w:r w:rsidR="00163B55">
        <w:t>S</w:t>
      </w:r>
      <w:r w:rsidRPr="00B90BB8">
        <w:t xml:space="preserve">cale </w:t>
      </w:r>
      <w:r w:rsidR="00163B55">
        <w:t>L</w:t>
      </w:r>
      <w:r w:rsidRPr="00B90BB8">
        <w:t xml:space="preserve">and </w:t>
      </w:r>
      <w:r w:rsidR="00163B55">
        <w:t>B</w:t>
      </w:r>
      <w:r w:rsidRPr="00B90BB8">
        <w:t xml:space="preserve">ased </w:t>
      </w:r>
      <w:r w:rsidR="00163B55">
        <w:t>I</w:t>
      </w:r>
      <w:r w:rsidRPr="00B90BB8">
        <w:t xml:space="preserve">nvestments in Africa.”  Key </w:t>
      </w:r>
      <w:r w:rsidR="00163B55">
        <w:t>t</w:t>
      </w:r>
      <w:r w:rsidRPr="00B90BB8">
        <w:t>argets and indicators associated with AU Agenda 2063 (to be achieved by 2023) and SDGs (to be achieved by 2030) include land governance targets and indicators in the realms of: equitable access to land for women, men and youth; and security of land rights for women and vulnerable groups. For instance, to achieve full gender equality (AU Goal 17), the implementation plan recommends that 20% of rural women have access to and control of land by 2023. Similarly, the SDGs recommend that by 2030, “all men and poor, in particular the poor and the vulnerable, have equal rights</w:t>
      </w:r>
      <w:r w:rsidR="000557F2" w:rsidRPr="00B90BB8">
        <w:t>... [</w:t>
      </w:r>
      <w:r w:rsidRPr="00B90BB8">
        <w:t>of] ownership and control over land.</w:t>
      </w:r>
    </w:p>
    <w:p w:rsidR="00E6590D" w:rsidRPr="00B90BB8" w:rsidRDefault="00E6590D" w:rsidP="00B90BB8">
      <w:pPr>
        <w:pStyle w:val="ListParagraph"/>
        <w:ind w:left="360"/>
        <w:jc w:val="both"/>
      </w:pPr>
    </w:p>
    <w:p w:rsidR="00E81490" w:rsidRDefault="00E81490" w:rsidP="00B90BB8">
      <w:pPr>
        <w:jc w:val="both"/>
        <w:rPr>
          <w:b/>
          <w:color w:val="000000" w:themeColor="text1"/>
        </w:rPr>
      </w:pPr>
      <w:r w:rsidRPr="00E60797">
        <w:rPr>
          <w:b/>
          <w:color w:val="000000" w:themeColor="text1"/>
        </w:rPr>
        <w:t>The AU Declaration on Land Issues and Challenges in Africa</w:t>
      </w:r>
      <w:r w:rsidR="00082549">
        <w:rPr>
          <w:b/>
          <w:color w:val="000000" w:themeColor="text1"/>
        </w:rPr>
        <w:t xml:space="preserve"> (2009)</w:t>
      </w:r>
    </w:p>
    <w:p w:rsidR="00D5087B" w:rsidRDefault="00D5087B" w:rsidP="00B90BB8">
      <w:pPr>
        <w:jc w:val="both"/>
      </w:pPr>
    </w:p>
    <w:p w:rsidR="00D5087B" w:rsidRDefault="00326F55" w:rsidP="00582A04">
      <w:pPr>
        <w:pStyle w:val="ListParagraph"/>
        <w:numPr>
          <w:ilvl w:val="0"/>
          <w:numId w:val="20"/>
        </w:numPr>
        <w:tabs>
          <w:tab w:val="left" w:pos="90"/>
        </w:tabs>
        <w:contextualSpacing w:val="0"/>
        <w:jc w:val="both"/>
      </w:pPr>
      <w:r>
        <w:t>In t</w:t>
      </w:r>
      <w:r w:rsidR="00976670" w:rsidRPr="00976670">
        <w:t>he AU Declaration on Land Issues and Challenges (</w:t>
      </w:r>
      <w:r w:rsidR="005413C2" w:rsidRPr="00976670">
        <w:t>A</w:t>
      </w:r>
      <w:r w:rsidR="005413C2">
        <w:t>U</w:t>
      </w:r>
      <w:r w:rsidR="005413C2" w:rsidRPr="00976670">
        <w:t xml:space="preserve"> </w:t>
      </w:r>
      <w:r>
        <w:t>Declaration on Land), th</w:t>
      </w:r>
      <w:r w:rsidR="00976670" w:rsidRPr="00976670">
        <w:t>e Heads of State and Government resolved to take ownership of- and lead land reform processes by strengthening institutions for effective land governance and allocating adequate budgetary resources for policy development, implementation and tracking of progress. They also resolved to ensure equitable land access for all land users and improve access and security of land tenure for women</w:t>
      </w:r>
      <w:r>
        <w:t>,</w:t>
      </w:r>
      <w:r w:rsidR="00976670" w:rsidRPr="00976670">
        <w:t xml:space="preserve"> as key priorities.</w:t>
      </w:r>
      <w:r w:rsidR="00F936D0">
        <w:t xml:space="preserve"> </w:t>
      </w:r>
      <w:r w:rsidR="00976670" w:rsidRPr="00976670">
        <w:t xml:space="preserve">The AU Declaration on Land urges Member States to develop comprehensive land policies that </w:t>
      </w:r>
      <w:r>
        <w:t>address specific needs of each S</w:t>
      </w:r>
      <w:r w:rsidR="00976670" w:rsidRPr="00976670">
        <w:t>tate, and build adequate human, financial and technical capacities in accordance with the Framework and Guidelines on Land Policy in Africa (F&amp;G)</w:t>
      </w:r>
      <w:r w:rsidR="00976670" w:rsidRPr="00976670">
        <w:rPr>
          <w:rStyle w:val="FootnoteReference"/>
        </w:rPr>
        <w:footnoteReference w:id="4"/>
      </w:r>
      <w:r w:rsidR="00976670" w:rsidRPr="00976670">
        <w:t xml:space="preserve">. The Declaration invites RECs to mainstream land governance issues in common frameworks, policies and protocols, and to convene platforms for disseminating knowledge and sharing best practices. The AU Declaration urges the AUC in partnership with ECA, AfDB and RECs to establish an appropriate institutional mechanism for coordination, a monitoring framework for tracking progress, and a fund to support activities in the implementation of the AU Declaration on land. </w:t>
      </w:r>
    </w:p>
    <w:p w:rsidR="00082549" w:rsidRDefault="00082549" w:rsidP="00082549">
      <w:pPr>
        <w:pStyle w:val="ListParagraph"/>
        <w:ind w:left="0"/>
        <w:jc w:val="both"/>
        <w:rPr>
          <w:b/>
        </w:rPr>
      </w:pPr>
    </w:p>
    <w:p w:rsidR="00082549" w:rsidRDefault="00082549" w:rsidP="00082549">
      <w:pPr>
        <w:pStyle w:val="ListParagraph"/>
        <w:ind w:left="0"/>
        <w:jc w:val="both"/>
        <w:rPr>
          <w:b/>
        </w:rPr>
      </w:pPr>
      <w:r w:rsidRPr="00B90BB8">
        <w:rPr>
          <w:b/>
        </w:rPr>
        <w:t xml:space="preserve">Malabo Declaration </w:t>
      </w:r>
      <w:r w:rsidR="00A41798">
        <w:rPr>
          <w:b/>
        </w:rPr>
        <w:t>on</w:t>
      </w:r>
      <w:r w:rsidRPr="00B90BB8">
        <w:rPr>
          <w:b/>
        </w:rPr>
        <w:t xml:space="preserve"> Accelerated Agricultural Growth and Transformation (2014)</w:t>
      </w:r>
    </w:p>
    <w:p w:rsidR="00A41798" w:rsidRDefault="00A41798" w:rsidP="00082549">
      <w:pPr>
        <w:pStyle w:val="ListParagraph"/>
        <w:ind w:left="0"/>
        <w:jc w:val="both"/>
        <w:rPr>
          <w:b/>
        </w:rPr>
      </w:pPr>
    </w:p>
    <w:p w:rsidR="00082549" w:rsidRDefault="00A41798" w:rsidP="00582A04">
      <w:pPr>
        <w:pStyle w:val="ListParagraph"/>
        <w:numPr>
          <w:ilvl w:val="0"/>
          <w:numId w:val="20"/>
        </w:numPr>
        <w:ind w:left="180"/>
        <w:jc w:val="both"/>
      </w:pPr>
      <w:r>
        <w:t>The Malabo Declaration on Accelerated Agricultural Growth and Transformation for Shared Prosperity and Improved Livelihoods specifies land tenure as one of the commitment areas in agriculture, while recognizing that this is “not (completely) under the mandate of the Ministry of Agriculture</w:t>
      </w:r>
      <w:r w:rsidR="000557F2">
        <w:t>.</w:t>
      </w:r>
      <w:r>
        <w:t>”</w:t>
      </w:r>
      <w:r w:rsidR="00827F1D">
        <w:rPr>
          <w:rStyle w:val="FootnoteReference"/>
        </w:rPr>
        <w:footnoteReference w:id="5"/>
      </w:r>
      <w:r w:rsidR="00827F1D">
        <w:t xml:space="preserve"> </w:t>
      </w:r>
      <w:r w:rsidRPr="00B90BB8">
        <w:t xml:space="preserve">Good </w:t>
      </w:r>
      <w:r w:rsidR="00082549" w:rsidRPr="00B90BB8">
        <w:t>land policies and management are cited as key to achieving agricultural transformation with equitable access to land and secure land rights being critical to investment and sustainable land management. The key performa</w:t>
      </w:r>
      <w:r w:rsidR="007F33D6">
        <w:t>nce targets and indicators for monitoring and r</w:t>
      </w:r>
      <w:r w:rsidR="00082549" w:rsidRPr="00B90BB8">
        <w:t>eporting on the Malabo Declaration for Agriculture include land governance related targets and indicators. In this regard, the recommendation is that 100% of farm households have ownership or secure land rights by 2025 (Target 3.1vi)</w:t>
      </w:r>
      <w:r w:rsidR="00082549" w:rsidRPr="00B90BB8">
        <w:rPr>
          <w:rStyle w:val="FootnoteReference"/>
        </w:rPr>
        <w:footnoteReference w:id="6"/>
      </w:r>
      <w:r w:rsidR="00082549" w:rsidRPr="00B90BB8">
        <w:t xml:space="preserve"> </w:t>
      </w:r>
    </w:p>
    <w:p w:rsidR="0071500C" w:rsidRDefault="0071500C" w:rsidP="0071500C">
      <w:pPr>
        <w:pStyle w:val="ListParagraph"/>
        <w:ind w:left="360"/>
        <w:jc w:val="both"/>
      </w:pPr>
    </w:p>
    <w:p w:rsidR="0071500C" w:rsidRDefault="0071500C" w:rsidP="0071500C">
      <w:pPr>
        <w:jc w:val="both"/>
        <w:rPr>
          <w:b/>
        </w:rPr>
      </w:pPr>
      <w:r w:rsidRPr="0071500C">
        <w:rPr>
          <w:b/>
        </w:rPr>
        <w:t>Recommendations of AU STC on Agriculture, Rural Development, Water and Environment</w:t>
      </w:r>
    </w:p>
    <w:p w:rsidR="00E65B47" w:rsidRDefault="00E65B47" w:rsidP="0071500C">
      <w:pPr>
        <w:jc w:val="both"/>
        <w:rPr>
          <w:b/>
        </w:rPr>
      </w:pPr>
    </w:p>
    <w:p w:rsidR="00064E9F" w:rsidRPr="001C3049" w:rsidRDefault="008E28AF" w:rsidP="00582A04">
      <w:pPr>
        <w:pStyle w:val="ListParagraph"/>
        <w:numPr>
          <w:ilvl w:val="0"/>
          <w:numId w:val="20"/>
        </w:numPr>
        <w:ind w:left="180"/>
        <w:jc w:val="both"/>
      </w:pPr>
      <w:r>
        <w:t xml:space="preserve">Having considered the report to the </w:t>
      </w:r>
      <w:r w:rsidR="00AA5BDA" w:rsidRPr="002817D3">
        <w:t xml:space="preserve">inaugural AU Specialized </w:t>
      </w:r>
      <w:r w:rsidR="00333947" w:rsidRPr="002817D3">
        <w:t>Technical Committee (</w:t>
      </w:r>
      <w:r w:rsidR="00AA5BDA" w:rsidRPr="002817D3">
        <w:t>STC</w:t>
      </w:r>
      <w:r w:rsidR="00333947" w:rsidRPr="002817D3">
        <w:t>)</w:t>
      </w:r>
      <w:r w:rsidR="00582A04">
        <w:t xml:space="preserve"> on</w:t>
      </w:r>
      <w:r w:rsidR="00333947" w:rsidRPr="002817D3">
        <w:t xml:space="preserve"> Agriculture, Rural Development, Water </w:t>
      </w:r>
      <w:r w:rsidR="00333947">
        <w:t>and</w:t>
      </w:r>
      <w:r w:rsidR="00333947" w:rsidRPr="002817D3">
        <w:t xml:space="preserve"> Environment </w:t>
      </w:r>
      <w:r>
        <w:t xml:space="preserve">on </w:t>
      </w:r>
      <w:r w:rsidR="000557F2">
        <w:rPr>
          <w:i/>
        </w:rPr>
        <w:t xml:space="preserve">The </w:t>
      </w:r>
      <w:r w:rsidRPr="00333947">
        <w:rPr>
          <w:i/>
        </w:rPr>
        <w:t xml:space="preserve">AU Declaration on Land </w:t>
      </w:r>
      <w:r w:rsidR="00CA0F5F">
        <w:rPr>
          <w:i/>
        </w:rPr>
        <w:t>I</w:t>
      </w:r>
      <w:r w:rsidR="00CA0F5F" w:rsidRPr="00333947">
        <w:rPr>
          <w:i/>
        </w:rPr>
        <w:t xml:space="preserve">ssues </w:t>
      </w:r>
      <w:r w:rsidRPr="00333947">
        <w:rPr>
          <w:i/>
        </w:rPr>
        <w:lastRenderedPageBreak/>
        <w:t>and Challenges in Africa</w:t>
      </w:r>
      <w:r w:rsidR="000557F2">
        <w:rPr>
          <w:i/>
        </w:rPr>
        <w:t>: A Review of Progress Made</w:t>
      </w:r>
      <w:r w:rsidR="00582A04">
        <w:rPr>
          <w:i/>
        </w:rPr>
        <w:t xml:space="preserve"> </w:t>
      </w:r>
      <w:r w:rsidR="00582A04" w:rsidRPr="00582A04">
        <w:t>in 2015</w:t>
      </w:r>
      <w:r>
        <w:t xml:space="preserve">, the Committee </w:t>
      </w:r>
      <w:r w:rsidR="00AA5BDA" w:rsidRPr="002817D3">
        <w:t>re</w:t>
      </w:r>
      <w:r w:rsidR="002817D3" w:rsidRPr="002817D3">
        <w:t>solved to</w:t>
      </w:r>
      <w:r>
        <w:rPr>
          <w:rStyle w:val="FootnoteReference"/>
        </w:rPr>
        <w:footnoteReference w:id="7"/>
      </w:r>
      <w:r w:rsidR="00AA5BDA" w:rsidRPr="002817D3">
        <w:t xml:space="preserve">: </w:t>
      </w:r>
      <w:r w:rsidR="005B2494" w:rsidRPr="002817D3">
        <w:rPr>
          <w:bCs/>
        </w:rPr>
        <w:t>establish and capacitate the African Land Policy Centre to provide leadership, coordination, build partnerships and promote</w:t>
      </w:r>
      <w:r w:rsidR="002817D3" w:rsidRPr="002817D3">
        <w:rPr>
          <w:bCs/>
        </w:rPr>
        <w:t xml:space="preserve"> policy advocacy; </w:t>
      </w:r>
      <w:r w:rsidR="005B2494" w:rsidRPr="002817D3">
        <w:rPr>
          <w:bCs/>
        </w:rPr>
        <w:t>operationalize comprehensive M&amp;E framework t</w:t>
      </w:r>
      <w:r w:rsidR="002817D3" w:rsidRPr="002817D3">
        <w:rPr>
          <w:bCs/>
        </w:rPr>
        <w:t>o track progress/ share lessons; s</w:t>
      </w:r>
      <w:r w:rsidR="005B2494" w:rsidRPr="002817D3">
        <w:rPr>
          <w:bCs/>
        </w:rPr>
        <w:t>tart mobilizing resources and actualize a fund for land policy f</w:t>
      </w:r>
      <w:r w:rsidR="002817D3" w:rsidRPr="002817D3">
        <w:rPr>
          <w:bCs/>
        </w:rPr>
        <w:t xml:space="preserve">rom partners and members states; and </w:t>
      </w:r>
      <w:r w:rsidR="005B2494" w:rsidRPr="002817D3">
        <w:rPr>
          <w:bCs/>
        </w:rPr>
        <w:t>use AU Guiding principles on Large Scale L</w:t>
      </w:r>
      <w:r w:rsidR="002817D3" w:rsidRPr="002817D3">
        <w:rPr>
          <w:bCs/>
        </w:rPr>
        <w:t>and-Based investments in Africa. The STC also r</w:t>
      </w:r>
      <w:r w:rsidR="005B2494" w:rsidRPr="002817D3">
        <w:rPr>
          <w:bCs/>
        </w:rPr>
        <w:t>ecommend</w:t>
      </w:r>
      <w:r w:rsidR="002817D3" w:rsidRPr="002817D3">
        <w:rPr>
          <w:bCs/>
        </w:rPr>
        <w:t xml:space="preserve">ed that </w:t>
      </w:r>
      <w:r w:rsidR="00BC2A70">
        <w:rPr>
          <w:bCs/>
        </w:rPr>
        <w:t>M</w:t>
      </w:r>
      <w:r w:rsidR="002817D3" w:rsidRPr="002817D3">
        <w:rPr>
          <w:bCs/>
        </w:rPr>
        <w:t>ember States</w:t>
      </w:r>
      <w:r w:rsidR="005B2494" w:rsidRPr="002817D3">
        <w:rPr>
          <w:bCs/>
        </w:rPr>
        <w:t xml:space="preserve"> allocate 30% of </w:t>
      </w:r>
      <w:r w:rsidR="002817D3" w:rsidRPr="002817D3">
        <w:rPr>
          <w:bCs/>
        </w:rPr>
        <w:t>documented land rights to women and</w:t>
      </w:r>
      <w:r w:rsidR="005B2494" w:rsidRPr="002817D3">
        <w:rPr>
          <w:bCs/>
        </w:rPr>
        <w:t xml:space="preserve"> improve land rights of women through legislative/other mechanisms</w:t>
      </w:r>
    </w:p>
    <w:p w:rsidR="001C3049" w:rsidRPr="002817D3" w:rsidRDefault="001C3049" w:rsidP="000F741B">
      <w:pPr>
        <w:pStyle w:val="ListParagraph"/>
        <w:ind w:left="360"/>
        <w:jc w:val="both"/>
      </w:pPr>
    </w:p>
    <w:p w:rsidR="00C73DCF" w:rsidRPr="00976670" w:rsidRDefault="00C73DCF" w:rsidP="00D5087B">
      <w:pPr>
        <w:pStyle w:val="ListParagraph"/>
        <w:ind w:left="360"/>
        <w:contextualSpacing w:val="0"/>
        <w:jc w:val="both"/>
      </w:pPr>
    </w:p>
    <w:p w:rsidR="00D5087B" w:rsidRPr="003A2BCF" w:rsidRDefault="00D5087B" w:rsidP="006814E0">
      <w:pPr>
        <w:jc w:val="both"/>
        <w:rPr>
          <w:b/>
          <w:color w:val="0070C0"/>
          <w:sz w:val="28"/>
        </w:rPr>
      </w:pPr>
      <w:r w:rsidRPr="003A2BCF">
        <w:rPr>
          <w:b/>
          <w:color w:val="0070C0"/>
          <w:sz w:val="28"/>
        </w:rPr>
        <w:t>PART II: PROGRESS MADE IN IMPLEMENTING THE AU DECLARATION ON LAND</w:t>
      </w:r>
    </w:p>
    <w:p w:rsidR="00D5087B" w:rsidRDefault="00D5087B" w:rsidP="006814E0">
      <w:pPr>
        <w:pStyle w:val="ListParagraph"/>
        <w:ind w:left="360"/>
        <w:jc w:val="both"/>
      </w:pPr>
    </w:p>
    <w:p w:rsidR="006814E0" w:rsidRDefault="006814E0" w:rsidP="006814E0">
      <w:pPr>
        <w:pStyle w:val="ListParagraph"/>
        <w:ind w:left="360"/>
        <w:jc w:val="both"/>
      </w:pPr>
    </w:p>
    <w:p w:rsidR="00976670" w:rsidRDefault="003A2BCF" w:rsidP="00B90BB8">
      <w:pPr>
        <w:pStyle w:val="ListParagraph"/>
        <w:ind w:left="0"/>
        <w:jc w:val="both"/>
        <w:rPr>
          <w:b/>
        </w:rPr>
      </w:pPr>
      <w:r>
        <w:rPr>
          <w:b/>
          <w:bCs/>
        </w:rPr>
        <w:t>THE AFRICAN LAND POLICY CENTRE (ALPC</w:t>
      </w:r>
      <w:r w:rsidR="00295109">
        <w:rPr>
          <w:b/>
          <w:bCs/>
        </w:rPr>
        <w:t>)</w:t>
      </w:r>
      <w:r w:rsidR="00976670">
        <w:rPr>
          <w:b/>
        </w:rPr>
        <w:t xml:space="preserve"> </w:t>
      </w:r>
    </w:p>
    <w:p w:rsidR="00976670" w:rsidRDefault="00976670" w:rsidP="00B90BB8">
      <w:pPr>
        <w:pStyle w:val="ListParagraph"/>
        <w:ind w:left="0"/>
        <w:jc w:val="both"/>
        <w:rPr>
          <w:b/>
        </w:rPr>
      </w:pPr>
    </w:p>
    <w:p w:rsidR="0017699F" w:rsidRDefault="00976670" w:rsidP="004E596E">
      <w:pPr>
        <w:pStyle w:val="ListParagraph"/>
        <w:numPr>
          <w:ilvl w:val="0"/>
          <w:numId w:val="20"/>
        </w:numPr>
        <w:ind w:left="0"/>
        <w:jc w:val="both"/>
      </w:pPr>
      <w:r w:rsidRPr="00E363F6">
        <w:t>Following the recommendation by the inaugural Specialized Technical Committee (STC) on Agriculture, Rural Development</w:t>
      </w:r>
      <w:r>
        <w:t>, Water and Environment in 2015 to establish an</w:t>
      </w:r>
      <w:r w:rsidR="001C3049">
        <w:t>d</w:t>
      </w:r>
      <w:r>
        <w:t xml:space="preserve"> </w:t>
      </w:r>
      <w:r w:rsidR="00295109">
        <w:t xml:space="preserve">capacitate the </w:t>
      </w:r>
      <w:r>
        <w:t>African Land Policy Centre (ALPC)</w:t>
      </w:r>
      <w:r w:rsidRPr="00A81E72">
        <w:t xml:space="preserve"> </w:t>
      </w:r>
      <w:r w:rsidRPr="000F741B">
        <w:rPr>
          <w:color w:val="000000" w:themeColor="text1"/>
        </w:rPr>
        <w:t>“</w:t>
      </w:r>
      <w:r w:rsidRPr="000F741B">
        <w:rPr>
          <w:rFonts w:ascii="Open Sans" w:hAnsi="Open Sans"/>
          <w:color w:val="000000" w:themeColor="text1"/>
          <w:sz w:val="23"/>
          <w:szCs w:val="23"/>
          <w:shd w:val="clear" w:color="auto" w:fill="FFFFFF"/>
        </w:rPr>
        <w:t>to provide leadership, coordination, build partnerships and promote policy advocacy in support of member states</w:t>
      </w:r>
      <w:r w:rsidR="00295109" w:rsidRPr="000F741B">
        <w:rPr>
          <w:rFonts w:ascii="Open Sans" w:hAnsi="Open Sans"/>
          <w:color w:val="000000" w:themeColor="text1"/>
          <w:sz w:val="23"/>
          <w:szCs w:val="23"/>
          <w:shd w:val="clear" w:color="auto" w:fill="FFFFFF"/>
        </w:rPr>
        <w:t>,</w:t>
      </w:r>
      <w:r w:rsidRPr="000F741B">
        <w:rPr>
          <w:rFonts w:ascii="Open Sans" w:hAnsi="Open Sans" w:hint="eastAsia"/>
          <w:color w:val="000000" w:themeColor="text1"/>
          <w:sz w:val="23"/>
          <w:szCs w:val="23"/>
          <w:shd w:val="clear" w:color="auto" w:fill="FFFFFF"/>
        </w:rPr>
        <w:t>”</w:t>
      </w:r>
      <w:r w:rsidRPr="000F741B">
        <w:rPr>
          <w:color w:val="000000" w:themeColor="text1"/>
        </w:rPr>
        <w:t xml:space="preserve"> </w:t>
      </w:r>
      <w:r>
        <w:t xml:space="preserve">the African Union Commission (AUC) </w:t>
      </w:r>
      <w:r w:rsidR="00295109">
        <w:t xml:space="preserve">in the auspices of the LPI </w:t>
      </w:r>
      <w:r>
        <w:t xml:space="preserve">has made strides in guiding the transition of the Land policy Initiative (LPI) towards ALPC. In this regard, the Commission along with the Economic Commission for Africa (ECA), the African Development Bank (AfDB), </w:t>
      </w:r>
      <w:r w:rsidR="00295109">
        <w:t>provided guidance to the secretariat</w:t>
      </w:r>
      <w:r w:rsidR="00FD396A">
        <w:t xml:space="preserve"> by approving a roadmap for transition and refinement of a strategy and business plan for ALPC, taking into account emerging issues. In this regard,</w:t>
      </w:r>
      <w:r w:rsidR="008B7C73">
        <w:t xml:space="preserve"> it is proposed that</w:t>
      </w:r>
      <w:r w:rsidR="00FD396A">
        <w:t xml:space="preserve"> t</w:t>
      </w:r>
      <w:r>
        <w:t xml:space="preserve">he </w:t>
      </w:r>
      <w:r w:rsidRPr="00C27C4B">
        <w:rPr>
          <w:i/>
          <w:u w:val="single"/>
        </w:rPr>
        <w:t xml:space="preserve">key </w:t>
      </w:r>
      <w:r w:rsidR="008B7C73" w:rsidRPr="00C27C4B">
        <w:rPr>
          <w:i/>
          <w:u w:val="single"/>
        </w:rPr>
        <w:t xml:space="preserve">interventions of </w:t>
      </w:r>
      <w:r w:rsidRPr="00C27C4B">
        <w:rPr>
          <w:i/>
          <w:u w:val="single"/>
        </w:rPr>
        <w:t>ALPC</w:t>
      </w:r>
      <w:r w:rsidR="008B7C73" w:rsidRPr="00C27C4B">
        <w:rPr>
          <w:u w:val="single"/>
        </w:rPr>
        <w:t xml:space="preserve"> </w:t>
      </w:r>
      <w:r w:rsidR="008B7C73">
        <w:t>b</w:t>
      </w:r>
      <w:r w:rsidR="0017699F">
        <w:t>e guided by the strategy for i</w:t>
      </w:r>
      <w:r w:rsidR="008B7C73">
        <w:t xml:space="preserve">mplementing the AU Declaration on Land </w:t>
      </w:r>
      <w:r w:rsidR="001C3049">
        <w:t xml:space="preserve">Issues </w:t>
      </w:r>
      <w:r w:rsidR="0017699F">
        <w:t>and Challenges and</w:t>
      </w:r>
      <w:r w:rsidR="008B7C73">
        <w:t xml:space="preserve"> endorsed by stakeholders as follows</w:t>
      </w:r>
      <w:r>
        <w:t>: a) knowledge generation</w:t>
      </w:r>
      <w:r w:rsidR="008B7C73">
        <w:t>, dissemination</w:t>
      </w:r>
      <w:r>
        <w:t xml:space="preserve"> and management to enhance the evidence base for land policy development and implementation; b) advocacy and outreach to build and sustain political will and commitment for improved land governance and management; </w:t>
      </w:r>
      <w:r w:rsidR="008B7C73">
        <w:t>c</w:t>
      </w:r>
      <w:r>
        <w:t xml:space="preserve">) capacity development to strengthen human resource capacity and institutions of land </w:t>
      </w:r>
      <w:r w:rsidR="008B7C73">
        <w:t>administration</w:t>
      </w:r>
      <w:r>
        <w:t xml:space="preserve">; </w:t>
      </w:r>
      <w:r w:rsidR="008B7C73">
        <w:t>e) monitoring and evaluation to operationalize the monitoring and evaluation of land governance in Africa; and f</w:t>
      </w:r>
      <w:r>
        <w:t>) partnerships and resource mobilization to promote synergies, coordination and alignment, and support resource mo</w:t>
      </w:r>
      <w:r w:rsidR="008B7C73">
        <w:t>bilization for the land sector</w:t>
      </w:r>
      <w:r w:rsidR="00C27C4B">
        <w:t xml:space="preserve">. </w:t>
      </w:r>
    </w:p>
    <w:p w:rsidR="0017699F" w:rsidRDefault="0017699F" w:rsidP="0017699F">
      <w:pPr>
        <w:pStyle w:val="ListParagraph"/>
        <w:ind w:left="0"/>
        <w:jc w:val="both"/>
      </w:pPr>
    </w:p>
    <w:p w:rsidR="00976670" w:rsidRDefault="00C27C4B" w:rsidP="000808BA">
      <w:pPr>
        <w:pStyle w:val="ListParagraph"/>
        <w:numPr>
          <w:ilvl w:val="0"/>
          <w:numId w:val="20"/>
        </w:numPr>
        <w:ind w:left="0"/>
        <w:jc w:val="both"/>
      </w:pPr>
      <w:r>
        <w:t xml:space="preserve">The </w:t>
      </w:r>
      <w:r w:rsidR="00976670" w:rsidRPr="0017699F">
        <w:rPr>
          <w:i/>
          <w:u w:val="single"/>
        </w:rPr>
        <w:t>thematic areas of intervention</w:t>
      </w:r>
      <w:r w:rsidR="00976670">
        <w:t xml:space="preserve"> for ALPC are guided by the key commitments and </w:t>
      </w:r>
      <w:r w:rsidR="000746D4">
        <w:t xml:space="preserve">existing </w:t>
      </w:r>
      <w:r w:rsidR="00976670">
        <w:t>decisions</w:t>
      </w:r>
      <w:r w:rsidR="00AA406C">
        <w:t xml:space="preserve"> on land governance</w:t>
      </w:r>
      <w:r w:rsidR="00976670">
        <w:t>, as well as areas that have emerged as critical to achieving broad based sustainab</w:t>
      </w:r>
      <w:r>
        <w:t>le development of the continent in accordance with Agenda 2063, the SDGs and Malabo Declaration on Agricultural Growth and Transformation.</w:t>
      </w:r>
      <w:r w:rsidR="00976670">
        <w:t xml:space="preserve"> </w:t>
      </w:r>
      <w:r w:rsidR="0017699F">
        <w:t xml:space="preserve">They include: </w:t>
      </w:r>
      <w:r>
        <w:t xml:space="preserve">Land policy development, </w:t>
      </w:r>
      <w:r w:rsidR="00976670">
        <w:t>Land Administration and Land Information Systems</w:t>
      </w:r>
      <w:r>
        <w:t xml:space="preserve">, </w:t>
      </w:r>
      <w:r w:rsidR="00976670">
        <w:t>Land Data, Statistics and Monitoring</w:t>
      </w:r>
      <w:r>
        <w:t xml:space="preserve">, </w:t>
      </w:r>
      <w:r w:rsidR="00976670">
        <w:t>Gender, Women and Land</w:t>
      </w:r>
      <w:r>
        <w:t xml:space="preserve">, </w:t>
      </w:r>
      <w:r w:rsidR="00976670">
        <w:t>Land Investments and Agriculture</w:t>
      </w:r>
      <w:r>
        <w:t xml:space="preserve">, </w:t>
      </w:r>
      <w:r w:rsidR="00976670">
        <w:t>Land, Natural Resources Management and Conflicts</w:t>
      </w:r>
      <w:r>
        <w:t xml:space="preserve">, </w:t>
      </w:r>
      <w:r w:rsidR="00976670">
        <w:t>Land, Settlement and Urban Development</w:t>
      </w:r>
      <w:r>
        <w:t xml:space="preserve">, </w:t>
      </w:r>
      <w:r w:rsidR="00976670">
        <w:t>Land, Youth, Migration and Employment</w:t>
      </w:r>
      <w:r>
        <w:t xml:space="preserve">. While ALPC will operate </w:t>
      </w:r>
      <w:r w:rsidR="000746D4">
        <w:t xml:space="preserve">primarily </w:t>
      </w:r>
      <w:r>
        <w:t xml:space="preserve">at continental level, a regional </w:t>
      </w:r>
      <w:r>
        <w:lastRenderedPageBreak/>
        <w:t xml:space="preserve">focus is critical to </w:t>
      </w:r>
      <w:r w:rsidR="00F06044">
        <w:t>developing</w:t>
      </w:r>
      <w:r w:rsidR="00DA5FC9">
        <w:t xml:space="preserve"> </w:t>
      </w:r>
      <w:r>
        <w:t xml:space="preserve">capacity of RECs and other regional institutions for successful implementation </w:t>
      </w:r>
      <w:r w:rsidR="001C3049">
        <w:t xml:space="preserve">of </w:t>
      </w:r>
      <w:r>
        <w:t xml:space="preserve">land governance commitments. In addition, </w:t>
      </w:r>
      <w:r w:rsidR="00F87877">
        <w:t>p</w:t>
      </w:r>
      <w:r>
        <w:t xml:space="preserve">ilot studies at country level are useful to informing guidelines and other tools as well as responding to the demands of </w:t>
      </w:r>
      <w:r w:rsidR="00F87877">
        <w:t>M</w:t>
      </w:r>
      <w:r>
        <w:t xml:space="preserve">ember </w:t>
      </w:r>
      <w:r w:rsidR="00F87877">
        <w:t>S</w:t>
      </w:r>
      <w:r>
        <w:t>tates to provide technical capacity on land policy development and implementation.</w:t>
      </w:r>
    </w:p>
    <w:p w:rsidR="00976670" w:rsidRDefault="00976670" w:rsidP="00976670">
      <w:pPr>
        <w:jc w:val="both"/>
        <w:rPr>
          <w:b/>
          <w:color w:val="0070C0"/>
          <w:sz w:val="28"/>
          <w:szCs w:val="28"/>
        </w:rPr>
      </w:pPr>
    </w:p>
    <w:p w:rsidR="00B1219B" w:rsidRDefault="00690D0A" w:rsidP="00976670">
      <w:pPr>
        <w:jc w:val="both"/>
        <w:rPr>
          <w:b/>
        </w:rPr>
      </w:pPr>
      <w:r w:rsidRPr="00B1219B">
        <w:rPr>
          <w:b/>
        </w:rPr>
        <w:t>MAINSTREAMING LAND GOVERNANCE IN REC PROGRAMMES</w:t>
      </w:r>
    </w:p>
    <w:p w:rsidR="008D1D7A" w:rsidRDefault="008D1D7A" w:rsidP="00976670">
      <w:pPr>
        <w:jc w:val="both"/>
        <w:rPr>
          <w:b/>
        </w:rPr>
      </w:pPr>
    </w:p>
    <w:p w:rsidR="005D4BAD" w:rsidRPr="008D1D7A" w:rsidRDefault="008D1D7A" w:rsidP="00444024">
      <w:pPr>
        <w:pStyle w:val="ListParagraph"/>
        <w:numPr>
          <w:ilvl w:val="0"/>
          <w:numId w:val="20"/>
        </w:numPr>
        <w:ind w:left="0"/>
        <w:jc w:val="both"/>
      </w:pPr>
      <w:r w:rsidRPr="008D1D7A">
        <w:t xml:space="preserve">The AU Declaration on Land issues and Challenges in Africa </w:t>
      </w:r>
      <w:r w:rsidR="00C83E9D">
        <w:t>invites Regional E</w:t>
      </w:r>
      <w:r w:rsidR="005B1E3F">
        <w:t xml:space="preserve">conomic </w:t>
      </w:r>
      <w:r w:rsidR="00C83E9D">
        <w:t>C</w:t>
      </w:r>
      <w:r w:rsidR="005B1E3F">
        <w:t>ommunities (RECs) to “convene periodic regional platforms to facilitate experience sharing, lessons learnt and dissemination of best practices in land policy formulation, implementation and monitoring based on member states experiences.” The AU Declaration on</w:t>
      </w:r>
      <w:r w:rsidR="007E5A56">
        <w:t xml:space="preserve"> Land</w:t>
      </w:r>
      <w:r w:rsidR="005B1E3F">
        <w:t xml:space="preserve"> also calls on RECs to “appropriately capture and address issues of land within their respective common…policy framework[s].”</w:t>
      </w:r>
      <w:r w:rsidR="004731EF">
        <w:t xml:space="preserve"> </w:t>
      </w:r>
      <w:r w:rsidR="005D4BAD">
        <w:t xml:space="preserve">A comprehensive assessment </w:t>
      </w:r>
      <w:r w:rsidR="00673D46">
        <w:t xml:space="preserve">by the LPI </w:t>
      </w:r>
      <w:r w:rsidR="001629D1">
        <w:t xml:space="preserve">in </w:t>
      </w:r>
      <w:r w:rsidR="00056EF7">
        <w:t xml:space="preserve">2013 </w:t>
      </w:r>
      <w:r w:rsidR="005D4BAD">
        <w:t xml:space="preserve">of the </w:t>
      </w:r>
      <w:r w:rsidR="00673D46">
        <w:t xml:space="preserve">potential entry points for capturing land governance </w:t>
      </w:r>
      <w:r w:rsidR="00C37ADD">
        <w:t>to advance the</w:t>
      </w:r>
      <w:r w:rsidR="00673D46">
        <w:t xml:space="preserve"> mandates of the RECs revealed great need </w:t>
      </w:r>
      <w:r w:rsidR="00C37ADD">
        <w:t xml:space="preserve">and potential. Indeed, the REC welcomed the initiative </w:t>
      </w:r>
      <w:r w:rsidR="00673D46">
        <w:t xml:space="preserve">to </w:t>
      </w:r>
      <w:r w:rsidR="00C37ADD">
        <w:t xml:space="preserve">develop a joint project to mainstream </w:t>
      </w:r>
      <w:r w:rsidR="00673D46">
        <w:t>land governance issues in the REC programmes in order to ensure land related challenges do not hamper REC efforts to promote sustainable development, peace a</w:t>
      </w:r>
      <w:r w:rsidR="00C37ADD">
        <w:t xml:space="preserve">nd security in their respective regions. </w:t>
      </w:r>
      <w:r w:rsidR="00433EAA">
        <w:t>Since t</w:t>
      </w:r>
      <w:r w:rsidR="00673D46">
        <w:t xml:space="preserve">he LPI assessment also concluded that the RECs did not the </w:t>
      </w:r>
      <w:r w:rsidR="00F87877">
        <w:t xml:space="preserve">requisite </w:t>
      </w:r>
      <w:r w:rsidR="00673D46">
        <w:t xml:space="preserve">capacity </w:t>
      </w:r>
      <w:r w:rsidR="00433EAA">
        <w:t>for mainstreaming</w:t>
      </w:r>
      <w:r w:rsidR="00F87877">
        <w:t xml:space="preserve"> land</w:t>
      </w:r>
      <w:r w:rsidR="00433EAA">
        <w:t xml:space="preserve">, </w:t>
      </w:r>
      <w:r w:rsidR="001C3049">
        <w:t xml:space="preserve">it </w:t>
      </w:r>
      <w:r w:rsidR="00433EAA">
        <w:t xml:space="preserve">was critical that the joint projects include a capacity development component. </w:t>
      </w:r>
    </w:p>
    <w:p w:rsidR="008D1D7A" w:rsidRPr="00B1219B" w:rsidRDefault="008D1D7A" w:rsidP="00976670">
      <w:pPr>
        <w:jc w:val="both"/>
        <w:rPr>
          <w:b/>
        </w:rPr>
      </w:pPr>
    </w:p>
    <w:p w:rsidR="00FF4227" w:rsidRDefault="00C83E9D" w:rsidP="00276613">
      <w:pPr>
        <w:pStyle w:val="ListParagraph"/>
        <w:numPr>
          <w:ilvl w:val="0"/>
          <w:numId w:val="20"/>
        </w:numPr>
        <w:ind w:left="0"/>
        <w:jc w:val="both"/>
        <w:rPr>
          <w:rFonts w:asciiTheme="majorBidi" w:hAnsiTheme="majorBidi" w:cstheme="majorBidi"/>
          <w:bCs/>
        </w:rPr>
      </w:pPr>
      <w:r>
        <w:t>In the past two years, t</w:t>
      </w:r>
      <w:r w:rsidR="00016593" w:rsidRPr="00016593">
        <w:t>he LPI</w:t>
      </w:r>
      <w:r>
        <w:t xml:space="preserve"> continued to support the IGAD S</w:t>
      </w:r>
      <w:r w:rsidR="00016593" w:rsidRPr="00016593">
        <w:t>ecretariat and its member states</w:t>
      </w:r>
      <w:r w:rsidR="003B58D5" w:rsidRPr="003B58D5">
        <w:t xml:space="preserve"> </w:t>
      </w:r>
      <w:r w:rsidR="003B58D5">
        <w:t xml:space="preserve">through a joint LPI/IGAD project on </w:t>
      </w:r>
      <w:r w:rsidR="003B58D5" w:rsidRPr="00276613">
        <w:rPr>
          <w:rFonts w:asciiTheme="majorBidi" w:hAnsiTheme="majorBidi" w:cstheme="majorBidi"/>
          <w:bCs/>
          <w:i/>
        </w:rPr>
        <w:t>Improving Land Governance in the IGAD Region</w:t>
      </w:r>
      <w:r w:rsidR="003B58D5" w:rsidRPr="00276613">
        <w:rPr>
          <w:rFonts w:asciiTheme="majorBidi" w:hAnsiTheme="majorBidi" w:cstheme="majorBidi"/>
          <w:bCs/>
        </w:rPr>
        <w:t xml:space="preserve"> funded by the Swiss Agency for </w:t>
      </w:r>
      <w:r w:rsidR="001110F9">
        <w:rPr>
          <w:rFonts w:asciiTheme="majorBidi" w:hAnsiTheme="majorBidi" w:cstheme="majorBidi"/>
          <w:bCs/>
        </w:rPr>
        <w:t>D</w:t>
      </w:r>
      <w:r w:rsidR="003B58D5" w:rsidRPr="00276613">
        <w:rPr>
          <w:rFonts w:asciiTheme="majorBidi" w:hAnsiTheme="majorBidi" w:cstheme="majorBidi"/>
          <w:bCs/>
        </w:rPr>
        <w:t xml:space="preserve">evelopment </w:t>
      </w:r>
      <w:r w:rsidR="001110F9">
        <w:rPr>
          <w:rFonts w:asciiTheme="majorBidi" w:hAnsiTheme="majorBidi" w:cstheme="majorBidi"/>
          <w:bCs/>
        </w:rPr>
        <w:t>C</w:t>
      </w:r>
      <w:r w:rsidR="003B58D5" w:rsidRPr="00276613">
        <w:rPr>
          <w:rFonts w:asciiTheme="majorBidi" w:hAnsiTheme="majorBidi" w:cstheme="majorBidi"/>
          <w:bCs/>
        </w:rPr>
        <w:t>orporation (SDC)</w:t>
      </w:r>
      <w:r w:rsidR="00016593" w:rsidRPr="00016593">
        <w:t>. The key results achieved in the auspices of the</w:t>
      </w:r>
      <w:r w:rsidR="00016593">
        <w:t xml:space="preserve"> </w:t>
      </w:r>
      <w:r w:rsidR="003B58D5">
        <w:t xml:space="preserve">project in the past two years </w:t>
      </w:r>
      <w:r w:rsidR="006B48F4">
        <w:t xml:space="preserve">include: </w:t>
      </w:r>
      <w:r w:rsidR="001C3049">
        <w:t xml:space="preserve">i) </w:t>
      </w:r>
      <w:r w:rsidR="00901A76" w:rsidRPr="00276613">
        <w:rPr>
          <w:rFonts w:asciiTheme="majorBidi" w:hAnsiTheme="majorBidi" w:cstheme="majorBidi"/>
          <w:bCs/>
          <w:i/>
          <w:u w:val="single"/>
        </w:rPr>
        <w:t>E</w:t>
      </w:r>
      <w:r w:rsidR="006D54BB" w:rsidRPr="00276613">
        <w:rPr>
          <w:rFonts w:asciiTheme="majorBidi" w:hAnsiTheme="majorBidi" w:cstheme="majorBidi"/>
          <w:bCs/>
          <w:i/>
          <w:u w:val="single"/>
        </w:rPr>
        <w:t xml:space="preserve">nhanced human </w:t>
      </w:r>
      <w:r w:rsidR="006B48F4" w:rsidRPr="00276613">
        <w:rPr>
          <w:rFonts w:asciiTheme="majorBidi" w:hAnsiTheme="majorBidi" w:cstheme="majorBidi"/>
          <w:bCs/>
          <w:i/>
          <w:u w:val="single"/>
        </w:rPr>
        <w:t>and institutional</w:t>
      </w:r>
      <w:r w:rsidR="006D54BB" w:rsidRPr="00276613">
        <w:rPr>
          <w:rFonts w:asciiTheme="majorBidi" w:hAnsiTheme="majorBidi" w:cstheme="majorBidi"/>
          <w:bCs/>
          <w:i/>
          <w:u w:val="single"/>
        </w:rPr>
        <w:t xml:space="preserve"> capacity </w:t>
      </w:r>
      <w:r w:rsidR="003B58D5" w:rsidRPr="00276613">
        <w:rPr>
          <w:rFonts w:asciiTheme="majorBidi" w:hAnsiTheme="majorBidi" w:cstheme="majorBidi"/>
          <w:bCs/>
          <w:i/>
          <w:u w:val="single"/>
        </w:rPr>
        <w:t xml:space="preserve">at the IGAD </w:t>
      </w:r>
      <w:r w:rsidR="001110F9">
        <w:rPr>
          <w:rFonts w:asciiTheme="majorBidi" w:hAnsiTheme="majorBidi" w:cstheme="majorBidi"/>
          <w:bCs/>
          <w:i/>
          <w:u w:val="single"/>
        </w:rPr>
        <w:t>S</w:t>
      </w:r>
      <w:r w:rsidR="003B58D5" w:rsidRPr="00276613">
        <w:rPr>
          <w:rFonts w:asciiTheme="majorBidi" w:hAnsiTheme="majorBidi" w:cstheme="majorBidi"/>
          <w:bCs/>
          <w:i/>
          <w:u w:val="single"/>
        </w:rPr>
        <w:t>ecretariat</w:t>
      </w:r>
      <w:r w:rsidR="003B58D5" w:rsidRPr="00276613">
        <w:rPr>
          <w:rFonts w:asciiTheme="majorBidi" w:hAnsiTheme="majorBidi" w:cstheme="majorBidi"/>
          <w:bCs/>
        </w:rPr>
        <w:t xml:space="preserve"> </w:t>
      </w:r>
      <w:r w:rsidR="006D54BB" w:rsidRPr="00276613">
        <w:rPr>
          <w:rFonts w:asciiTheme="majorBidi" w:hAnsiTheme="majorBidi" w:cstheme="majorBidi"/>
          <w:bCs/>
        </w:rPr>
        <w:t xml:space="preserve">through </w:t>
      </w:r>
      <w:r w:rsidR="00610F85" w:rsidRPr="00276613">
        <w:rPr>
          <w:rFonts w:asciiTheme="majorBidi" w:hAnsiTheme="majorBidi" w:cstheme="majorBidi"/>
          <w:bCs/>
        </w:rPr>
        <w:t xml:space="preserve">development of a </w:t>
      </w:r>
      <w:r w:rsidR="00610F85" w:rsidRPr="00276613">
        <w:rPr>
          <w:rFonts w:asciiTheme="majorBidi" w:hAnsiTheme="majorBidi" w:cstheme="majorBidi"/>
          <w:b/>
          <w:bCs/>
          <w:i/>
        </w:rPr>
        <w:t>strategy</w:t>
      </w:r>
      <w:r w:rsidR="00610F85" w:rsidRPr="00276613">
        <w:rPr>
          <w:rFonts w:asciiTheme="majorBidi" w:hAnsiTheme="majorBidi" w:cstheme="majorBidi"/>
          <w:bCs/>
        </w:rPr>
        <w:t xml:space="preserve"> fo</w:t>
      </w:r>
      <w:r w:rsidR="006B48F4" w:rsidRPr="00276613">
        <w:rPr>
          <w:rFonts w:asciiTheme="majorBidi" w:hAnsiTheme="majorBidi" w:cstheme="majorBidi"/>
          <w:bCs/>
        </w:rPr>
        <w:t xml:space="preserve">r mainstreaming land governance, </w:t>
      </w:r>
      <w:r w:rsidR="00A6348E" w:rsidRPr="00276613">
        <w:rPr>
          <w:rFonts w:asciiTheme="majorBidi" w:hAnsiTheme="majorBidi" w:cstheme="majorBidi"/>
          <w:bCs/>
        </w:rPr>
        <w:t xml:space="preserve">establishment of a </w:t>
      </w:r>
      <w:r w:rsidR="00A6348E" w:rsidRPr="00276613">
        <w:rPr>
          <w:rFonts w:asciiTheme="majorBidi" w:hAnsiTheme="majorBidi" w:cstheme="majorBidi"/>
          <w:b/>
          <w:bCs/>
          <w:i/>
        </w:rPr>
        <w:t xml:space="preserve">steering </w:t>
      </w:r>
      <w:r w:rsidR="00610F85" w:rsidRPr="00276613">
        <w:rPr>
          <w:rFonts w:asciiTheme="majorBidi" w:hAnsiTheme="majorBidi" w:cstheme="majorBidi"/>
          <w:b/>
          <w:bCs/>
          <w:i/>
        </w:rPr>
        <w:t>committee</w:t>
      </w:r>
      <w:r w:rsidR="00A6348E" w:rsidRPr="00276613">
        <w:rPr>
          <w:rFonts w:asciiTheme="majorBidi" w:hAnsiTheme="majorBidi" w:cstheme="majorBidi"/>
          <w:bCs/>
        </w:rPr>
        <w:t xml:space="preserve"> with membership drawn from IGAD member states at state m</w:t>
      </w:r>
      <w:r w:rsidR="006B48F4" w:rsidRPr="00276613">
        <w:rPr>
          <w:rFonts w:asciiTheme="majorBidi" w:hAnsiTheme="majorBidi" w:cstheme="majorBidi"/>
          <w:bCs/>
        </w:rPr>
        <w:t>inister and permanent secretary</w:t>
      </w:r>
      <w:r w:rsidR="001C3049">
        <w:rPr>
          <w:rFonts w:asciiTheme="majorBidi" w:hAnsiTheme="majorBidi" w:cstheme="majorBidi"/>
          <w:bCs/>
        </w:rPr>
        <w:t xml:space="preserve"> level</w:t>
      </w:r>
      <w:r w:rsidR="006B48F4" w:rsidRPr="00276613">
        <w:rPr>
          <w:rFonts w:asciiTheme="majorBidi" w:hAnsiTheme="majorBidi" w:cstheme="majorBidi"/>
          <w:bCs/>
        </w:rPr>
        <w:t xml:space="preserve">, recruitment of </w:t>
      </w:r>
      <w:r w:rsidR="00610F85" w:rsidRPr="00276613">
        <w:rPr>
          <w:rFonts w:asciiTheme="majorBidi" w:hAnsiTheme="majorBidi" w:cstheme="majorBidi"/>
          <w:b/>
          <w:bCs/>
          <w:i/>
        </w:rPr>
        <w:t>staff recruitment</w:t>
      </w:r>
      <w:r w:rsidR="006B48F4" w:rsidRPr="00276613">
        <w:rPr>
          <w:rFonts w:asciiTheme="majorBidi" w:hAnsiTheme="majorBidi" w:cstheme="majorBidi"/>
          <w:bCs/>
        </w:rPr>
        <w:t>,</w:t>
      </w:r>
      <w:r w:rsidR="00BB6B0C">
        <w:rPr>
          <w:rFonts w:asciiTheme="majorBidi" w:hAnsiTheme="majorBidi" w:cstheme="majorBidi"/>
          <w:bCs/>
        </w:rPr>
        <w:t xml:space="preserve"> </w:t>
      </w:r>
      <w:r w:rsidR="00DB4625" w:rsidRPr="00276613">
        <w:rPr>
          <w:rFonts w:asciiTheme="majorBidi" w:hAnsiTheme="majorBidi" w:cstheme="majorBidi"/>
          <w:bCs/>
        </w:rPr>
        <w:t xml:space="preserve">development of a </w:t>
      </w:r>
      <w:r w:rsidR="00DB4625" w:rsidRPr="00276613">
        <w:rPr>
          <w:rFonts w:asciiTheme="majorBidi" w:hAnsiTheme="majorBidi" w:cstheme="majorBidi"/>
          <w:b/>
          <w:bCs/>
        </w:rPr>
        <w:t xml:space="preserve">gender </w:t>
      </w:r>
      <w:r w:rsidR="006D305E">
        <w:rPr>
          <w:rFonts w:asciiTheme="majorBidi" w:hAnsiTheme="majorBidi" w:cstheme="majorBidi"/>
          <w:b/>
          <w:bCs/>
        </w:rPr>
        <w:t>mainstreaming</w:t>
      </w:r>
      <w:r w:rsidR="006D305E" w:rsidRPr="00276613">
        <w:rPr>
          <w:rFonts w:asciiTheme="majorBidi" w:hAnsiTheme="majorBidi" w:cstheme="majorBidi"/>
          <w:b/>
          <w:bCs/>
        </w:rPr>
        <w:t xml:space="preserve"> </w:t>
      </w:r>
      <w:r w:rsidR="00DB4625" w:rsidRPr="00276613">
        <w:rPr>
          <w:rFonts w:asciiTheme="majorBidi" w:hAnsiTheme="majorBidi" w:cstheme="majorBidi"/>
          <w:b/>
          <w:bCs/>
        </w:rPr>
        <w:t>module</w:t>
      </w:r>
      <w:r w:rsidR="00DB4625" w:rsidRPr="00276613">
        <w:rPr>
          <w:rFonts w:asciiTheme="majorBidi" w:hAnsiTheme="majorBidi" w:cstheme="majorBidi"/>
          <w:bCs/>
        </w:rPr>
        <w:t xml:space="preserve"> on land governance</w:t>
      </w:r>
      <w:r w:rsidR="00BB6B0C">
        <w:rPr>
          <w:rFonts w:asciiTheme="majorBidi" w:hAnsiTheme="majorBidi" w:cstheme="majorBidi"/>
          <w:bCs/>
        </w:rPr>
        <w:t xml:space="preserve"> </w:t>
      </w:r>
      <w:r w:rsidR="00BB6B0C" w:rsidRPr="00276613">
        <w:rPr>
          <w:rFonts w:asciiTheme="majorBidi" w:hAnsiTheme="majorBidi" w:cstheme="majorBidi"/>
          <w:bCs/>
        </w:rPr>
        <w:t xml:space="preserve">and </w:t>
      </w:r>
      <w:r w:rsidR="00BB6B0C" w:rsidRPr="00276613">
        <w:rPr>
          <w:rFonts w:asciiTheme="majorBidi" w:hAnsiTheme="majorBidi" w:cstheme="majorBidi"/>
          <w:b/>
          <w:bCs/>
          <w:i/>
        </w:rPr>
        <w:t xml:space="preserve">training </w:t>
      </w:r>
      <w:r w:rsidR="00BB6B0C" w:rsidRPr="00276613">
        <w:rPr>
          <w:rFonts w:asciiTheme="majorBidi" w:hAnsiTheme="majorBidi" w:cstheme="majorBidi"/>
          <w:bCs/>
        </w:rPr>
        <w:t>of IGAD</w:t>
      </w:r>
      <w:r w:rsidR="00DB4625" w:rsidRPr="00276613">
        <w:rPr>
          <w:rFonts w:asciiTheme="majorBidi" w:hAnsiTheme="majorBidi" w:cstheme="majorBidi"/>
          <w:bCs/>
        </w:rPr>
        <w:t>;</w:t>
      </w:r>
      <w:r w:rsidR="006B48F4" w:rsidRPr="00276613">
        <w:rPr>
          <w:rFonts w:asciiTheme="majorBidi" w:hAnsiTheme="majorBidi" w:cstheme="majorBidi"/>
          <w:bCs/>
        </w:rPr>
        <w:t xml:space="preserve"> </w:t>
      </w:r>
      <w:r w:rsidR="001C3049">
        <w:rPr>
          <w:rFonts w:asciiTheme="majorBidi" w:hAnsiTheme="majorBidi" w:cstheme="majorBidi"/>
          <w:bCs/>
        </w:rPr>
        <w:t xml:space="preserve">ii) </w:t>
      </w:r>
      <w:r w:rsidR="007C08A3" w:rsidRPr="00276613">
        <w:rPr>
          <w:rFonts w:asciiTheme="majorBidi" w:hAnsiTheme="majorBidi" w:cstheme="majorBidi"/>
          <w:bCs/>
          <w:i/>
          <w:u w:val="single"/>
        </w:rPr>
        <w:t>L</w:t>
      </w:r>
      <w:r w:rsidR="006D54BB" w:rsidRPr="00276613">
        <w:rPr>
          <w:rFonts w:asciiTheme="majorBidi" w:hAnsiTheme="majorBidi" w:cstheme="majorBidi"/>
          <w:bCs/>
          <w:i/>
          <w:u w:val="single"/>
        </w:rPr>
        <w:t>and governance issue</w:t>
      </w:r>
      <w:r w:rsidR="00901A76" w:rsidRPr="00276613">
        <w:rPr>
          <w:rFonts w:asciiTheme="majorBidi" w:hAnsiTheme="majorBidi" w:cstheme="majorBidi"/>
          <w:bCs/>
          <w:i/>
          <w:u w:val="single"/>
        </w:rPr>
        <w:t>s</w:t>
      </w:r>
      <w:r w:rsidR="007C08A3" w:rsidRPr="00276613">
        <w:rPr>
          <w:rFonts w:asciiTheme="majorBidi" w:hAnsiTheme="majorBidi" w:cstheme="majorBidi"/>
          <w:bCs/>
          <w:i/>
          <w:u w:val="single"/>
        </w:rPr>
        <w:t xml:space="preserve"> mainstreamed</w:t>
      </w:r>
      <w:r w:rsidR="00901A76" w:rsidRPr="00276613">
        <w:rPr>
          <w:rFonts w:asciiTheme="majorBidi" w:hAnsiTheme="majorBidi" w:cstheme="majorBidi"/>
          <w:bCs/>
          <w:i/>
          <w:u w:val="single"/>
        </w:rPr>
        <w:t xml:space="preserve"> in IGAD programmes</w:t>
      </w:r>
      <w:r w:rsidR="00901A76" w:rsidRPr="00276613">
        <w:rPr>
          <w:rFonts w:asciiTheme="majorBidi" w:hAnsiTheme="majorBidi" w:cstheme="majorBidi"/>
          <w:bCs/>
        </w:rPr>
        <w:t xml:space="preserve"> particularly </w:t>
      </w:r>
      <w:r w:rsidR="006B48F4" w:rsidRPr="00276613">
        <w:rPr>
          <w:rFonts w:asciiTheme="majorBidi" w:hAnsiTheme="majorBidi" w:cstheme="majorBidi"/>
          <w:bCs/>
        </w:rPr>
        <w:t>in the IGAD strategy; reg</w:t>
      </w:r>
      <w:r w:rsidR="00901A76" w:rsidRPr="00276613">
        <w:rPr>
          <w:rFonts w:asciiTheme="majorBidi" w:hAnsiTheme="majorBidi" w:cstheme="majorBidi"/>
          <w:bCs/>
        </w:rPr>
        <w:t xml:space="preserve">ional CAADP implementation plan, and </w:t>
      </w:r>
      <w:r w:rsidR="006B48F4" w:rsidRPr="00276613">
        <w:rPr>
          <w:rFonts w:asciiTheme="majorBidi" w:hAnsiTheme="majorBidi" w:cstheme="majorBidi"/>
          <w:bCs/>
        </w:rPr>
        <w:t xml:space="preserve">a new </w:t>
      </w:r>
      <w:r w:rsidR="00901A76" w:rsidRPr="00276613">
        <w:rPr>
          <w:rFonts w:asciiTheme="majorBidi" w:hAnsiTheme="majorBidi" w:cstheme="majorBidi"/>
          <w:b/>
          <w:bCs/>
        </w:rPr>
        <w:t>programme on land and migration</w:t>
      </w:r>
      <w:r w:rsidR="006D54BB" w:rsidRPr="00276613">
        <w:rPr>
          <w:rFonts w:asciiTheme="majorBidi" w:hAnsiTheme="majorBidi" w:cstheme="majorBidi"/>
          <w:bCs/>
        </w:rPr>
        <w:t xml:space="preserve">; </w:t>
      </w:r>
      <w:r w:rsidR="001C3049">
        <w:rPr>
          <w:rFonts w:asciiTheme="majorBidi" w:hAnsiTheme="majorBidi" w:cstheme="majorBidi"/>
          <w:bCs/>
        </w:rPr>
        <w:t xml:space="preserve">iii) </w:t>
      </w:r>
      <w:r w:rsidR="007C08A3" w:rsidRPr="00276613">
        <w:rPr>
          <w:rFonts w:asciiTheme="majorBidi" w:hAnsiTheme="majorBidi" w:cstheme="majorBidi"/>
          <w:bCs/>
          <w:i/>
          <w:u w:val="single"/>
        </w:rPr>
        <w:t xml:space="preserve">Capacity of academic institutions in the IGAD region </w:t>
      </w:r>
      <w:r w:rsidR="00D60D94">
        <w:rPr>
          <w:rFonts w:asciiTheme="majorBidi" w:hAnsiTheme="majorBidi" w:cstheme="majorBidi"/>
          <w:bCs/>
          <w:i/>
          <w:u w:val="single"/>
        </w:rPr>
        <w:t>enhanced</w:t>
      </w:r>
      <w:r w:rsidR="00D60D94" w:rsidRPr="00276613">
        <w:rPr>
          <w:rFonts w:asciiTheme="majorBidi" w:hAnsiTheme="majorBidi" w:cstheme="majorBidi"/>
          <w:bCs/>
        </w:rPr>
        <w:t xml:space="preserve"> </w:t>
      </w:r>
      <w:r w:rsidR="00DE290D" w:rsidRPr="00276613">
        <w:rPr>
          <w:rFonts w:asciiTheme="majorBidi" w:hAnsiTheme="majorBidi" w:cstheme="majorBidi"/>
          <w:bCs/>
        </w:rPr>
        <w:t>to promote</w:t>
      </w:r>
      <w:r w:rsidR="007C08A3" w:rsidRPr="00276613">
        <w:rPr>
          <w:rFonts w:asciiTheme="majorBidi" w:hAnsiTheme="majorBidi" w:cstheme="majorBidi"/>
          <w:bCs/>
        </w:rPr>
        <w:t xml:space="preserve"> training, research and advocacy on land governance through </w:t>
      </w:r>
      <w:r w:rsidR="00244C67" w:rsidRPr="00276613">
        <w:rPr>
          <w:rFonts w:asciiTheme="majorBidi" w:hAnsiTheme="majorBidi" w:cstheme="majorBidi"/>
          <w:bCs/>
        </w:rPr>
        <w:t>linking institutions to the</w:t>
      </w:r>
      <w:r w:rsidR="007C08A3" w:rsidRPr="00276613">
        <w:rPr>
          <w:rFonts w:asciiTheme="majorBidi" w:hAnsiTheme="majorBidi" w:cstheme="majorBidi"/>
          <w:bCs/>
        </w:rPr>
        <w:t xml:space="preserve"> </w:t>
      </w:r>
      <w:r w:rsidR="007C08A3" w:rsidRPr="00276613">
        <w:rPr>
          <w:rFonts w:asciiTheme="majorBidi" w:hAnsiTheme="majorBidi" w:cstheme="majorBidi"/>
          <w:b/>
          <w:bCs/>
        </w:rPr>
        <w:t xml:space="preserve">Network </w:t>
      </w:r>
      <w:r w:rsidR="001C3049" w:rsidRPr="00276613">
        <w:rPr>
          <w:rFonts w:asciiTheme="majorBidi" w:hAnsiTheme="majorBidi" w:cstheme="majorBidi"/>
          <w:b/>
          <w:bCs/>
        </w:rPr>
        <w:t>o</w:t>
      </w:r>
      <w:r w:rsidR="001C3049">
        <w:rPr>
          <w:rFonts w:asciiTheme="majorBidi" w:hAnsiTheme="majorBidi" w:cstheme="majorBidi"/>
          <w:b/>
          <w:bCs/>
        </w:rPr>
        <w:t>f</w:t>
      </w:r>
      <w:r w:rsidR="001C3049" w:rsidRPr="00276613">
        <w:rPr>
          <w:rFonts w:asciiTheme="majorBidi" w:hAnsiTheme="majorBidi" w:cstheme="majorBidi"/>
          <w:b/>
          <w:bCs/>
        </w:rPr>
        <w:t xml:space="preserve"> </w:t>
      </w:r>
      <w:r w:rsidR="001C3049">
        <w:rPr>
          <w:rFonts w:asciiTheme="majorBidi" w:hAnsiTheme="majorBidi" w:cstheme="majorBidi"/>
          <w:b/>
          <w:bCs/>
        </w:rPr>
        <w:t xml:space="preserve">Excellence on </w:t>
      </w:r>
      <w:r w:rsidR="007C08A3" w:rsidRPr="00276613">
        <w:rPr>
          <w:rFonts w:asciiTheme="majorBidi" w:hAnsiTheme="majorBidi" w:cstheme="majorBidi"/>
          <w:b/>
          <w:bCs/>
        </w:rPr>
        <w:t>land Governance in Africa (NELGA)</w:t>
      </w:r>
      <w:r w:rsidR="00244C67" w:rsidRPr="00276613">
        <w:rPr>
          <w:rFonts w:asciiTheme="majorBidi" w:hAnsiTheme="majorBidi" w:cstheme="majorBidi"/>
          <w:b/>
          <w:bCs/>
        </w:rPr>
        <w:t xml:space="preserve">; </w:t>
      </w:r>
      <w:r w:rsidR="001C3049">
        <w:rPr>
          <w:rFonts w:asciiTheme="majorBidi" w:hAnsiTheme="majorBidi" w:cstheme="majorBidi"/>
          <w:b/>
          <w:bCs/>
        </w:rPr>
        <w:t xml:space="preserve">iv) </w:t>
      </w:r>
      <w:r w:rsidR="00B57959" w:rsidRPr="00276613">
        <w:rPr>
          <w:rFonts w:asciiTheme="majorBidi" w:hAnsiTheme="majorBidi" w:cstheme="majorBidi"/>
          <w:bCs/>
          <w:i/>
          <w:u w:val="single"/>
        </w:rPr>
        <w:t>Knowledge generated</w:t>
      </w:r>
      <w:r w:rsidR="008335AE" w:rsidRPr="00276613">
        <w:rPr>
          <w:rFonts w:asciiTheme="majorBidi" w:hAnsiTheme="majorBidi" w:cstheme="majorBidi"/>
          <w:bCs/>
          <w:i/>
          <w:u w:val="single"/>
        </w:rPr>
        <w:t xml:space="preserve"> and disseminated</w:t>
      </w:r>
      <w:r w:rsidR="00B57959" w:rsidRPr="00276613">
        <w:rPr>
          <w:rFonts w:asciiTheme="majorBidi" w:hAnsiTheme="majorBidi" w:cstheme="majorBidi"/>
          <w:bCs/>
          <w:i/>
        </w:rPr>
        <w:t xml:space="preserve"> </w:t>
      </w:r>
      <w:r w:rsidR="00244C67" w:rsidRPr="00276613">
        <w:rPr>
          <w:rFonts w:asciiTheme="majorBidi" w:hAnsiTheme="majorBidi" w:cstheme="majorBidi"/>
          <w:bCs/>
          <w:i/>
        </w:rPr>
        <w:t xml:space="preserve"> </w:t>
      </w:r>
      <w:r w:rsidR="00244C67" w:rsidRPr="00276613">
        <w:rPr>
          <w:rFonts w:asciiTheme="majorBidi" w:hAnsiTheme="majorBidi" w:cstheme="majorBidi"/>
          <w:bCs/>
        </w:rPr>
        <w:t>including</w:t>
      </w:r>
      <w:r w:rsidR="00244C67" w:rsidRPr="00276613">
        <w:rPr>
          <w:rFonts w:asciiTheme="majorBidi" w:hAnsiTheme="majorBidi" w:cstheme="majorBidi"/>
          <w:bCs/>
          <w:i/>
        </w:rPr>
        <w:t xml:space="preserve"> </w:t>
      </w:r>
      <w:r w:rsidR="00244C67" w:rsidRPr="00276613">
        <w:rPr>
          <w:rFonts w:asciiTheme="majorBidi" w:hAnsiTheme="majorBidi" w:cstheme="majorBidi"/>
          <w:bCs/>
        </w:rPr>
        <w:t>a</w:t>
      </w:r>
      <w:r w:rsidR="00B57959" w:rsidRPr="00276613">
        <w:rPr>
          <w:rFonts w:asciiTheme="majorBidi" w:hAnsiTheme="majorBidi" w:cstheme="majorBidi"/>
          <w:bCs/>
        </w:rPr>
        <w:t xml:space="preserve"> </w:t>
      </w:r>
      <w:r w:rsidR="00A80BEF" w:rsidRPr="00276613">
        <w:rPr>
          <w:rFonts w:asciiTheme="majorBidi" w:hAnsiTheme="majorBidi" w:cstheme="majorBidi"/>
          <w:b/>
          <w:bCs/>
          <w:i/>
        </w:rPr>
        <w:t>R</w:t>
      </w:r>
      <w:r w:rsidR="00B57959" w:rsidRPr="00276613">
        <w:rPr>
          <w:rFonts w:asciiTheme="majorBidi" w:hAnsiTheme="majorBidi" w:cstheme="majorBidi"/>
          <w:b/>
          <w:bCs/>
          <w:i/>
        </w:rPr>
        <w:t xml:space="preserve">eport on </w:t>
      </w:r>
      <w:r w:rsidR="00A80BEF" w:rsidRPr="00276613">
        <w:rPr>
          <w:rFonts w:asciiTheme="majorBidi" w:hAnsiTheme="majorBidi" w:cstheme="majorBidi"/>
          <w:b/>
          <w:bCs/>
          <w:i/>
        </w:rPr>
        <w:t>Mainstreaming of Land Governance</w:t>
      </w:r>
      <w:r w:rsidR="00A80BEF" w:rsidRPr="00276613">
        <w:rPr>
          <w:rFonts w:asciiTheme="majorBidi" w:hAnsiTheme="majorBidi" w:cstheme="majorBidi"/>
          <w:bCs/>
          <w:i/>
        </w:rPr>
        <w:t xml:space="preserve"> in </w:t>
      </w:r>
      <w:r w:rsidR="004A101A" w:rsidRPr="00276613">
        <w:rPr>
          <w:rFonts w:asciiTheme="majorBidi" w:hAnsiTheme="majorBidi" w:cstheme="majorBidi"/>
          <w:bCs/>
          <w:i/>
        </w:rPr>
        <w:t xml:space="preserve">IGAD </w:t>
      </w:r>
      <w:r w:rsidR="00A80BEF" w:rsidRPr="00276613">
        <w:rPr>
          <w:rFonts w:asciiTheme="majorBidi" w:hAnsiTheme="majorBidi" w:cstheme="majorBidi"/>
          <w:bCs/>
          <w:i/>
        </w:rPr>
        <w:t>Secretariat and Member States</w:t>
      </w:r>
      <w:r w:rsidR="008335AE" w:rsidRPr="00276613">
        <w:rPr>
          <w:rFonts w:asciiTheme="majorBidi" w:hAnsiTheme="majorBidi" w:cstheme="majorBidi"/>
          <w:bCs/>
          <w:i/>
        </w:rPr>
        <w:t>;</w:t>
      </w:r>
      <w:r w:rsidR="00244C67" w:rsidRPr="00276613">
        <w:rPr>
          <w:rFonts w:asciiTheme="majorBidi" w:hAnsiTheme="majorBidi" w:cstheme="majorBidi"/>
          <w:bCs/>
          <w:i/>
        </w:rPr>
        <w:t xml:space="preserve"> and </w:t>
      </w:r>
      <w:r w:rsidR="001C3049">
        <w:rPr>
          <w:rFonts w:asciiTheme="majorBidi" w:hAnsiTheme="majorBidi" w:cstheme="majorBidi"/>
          <w:bCs/>
          <w:i/>
        </w:rPr>
        <w:t xml:space="preserve">v) </w:t>
      </w:r>
      <w:r w:rsidR="008335AE" w:rsidRPr="00276613">
        <w:rPr>
          <w:rFonts w:asciiTheme="majorBidi" w:hAnsiTheme="majorBidi" w:cstheme="majorBidi"/>
          <w:bCs/>
          <w:i/>
          <w:u w:val="single"/>
        </w:rPr>
        <w:t xml:space="preserve">Enhanced tracking of land policy reforms </w:t>
      </w:r>
      <w:r w:rsidR="008335AE" w:rsidRPr="00276613">
        <w:rPr>
          <w:rFonts w:asciiTheme="majorBidi" w:hAnsiTheme="majorBidi" w:cstheme="majorBidi"/>
          <w:bCs/>
        </w:rPr>
        <w:t xml:space="preserve">as three IGAD countries (Ethiopia, Kenya, Uganda) are </w:t>
      </w:r>
      <w:r w:rsidR="003F6D84" w:rsidRPr="00276613">
        <w:rPr>
          <w:rFonts w:asciiTheme="majorBidi" w:hAnsiTheme="majorBidi" w:cstheme="majorBidi"/>
          <w:bCs/>
        </w:rPr>
        <w:t>now part of a</w:t>
      </w:r>
      <w:r w:rsidR="008335AE" w:rsidRPr="00276613">
        <w:rPr>
          <w:rFonts w:asciiTheme="majorBidi" w:hAnsiTheme="majorBidi" w:cstheme="majorBidi"/>
          <w:bCs/>
        </w:rPr>
        <w:t xml:space="preserve"> </w:t>
      </w:r>
      <w:r w:rsidR="0007192E">
        <w:rPr>
          <w:rFonts w:asciiTheme="majorBidi" w:hAnsiTheme="majorBidi" w:cstheme="majorBidi"/>
          <w:bCs/>
        </w:rPr>
        <w:t>twelve(</w:t>
      </w:r>
      <w:r w:rsidR="008335AE" w:rsidRPr="00276613">
        <w:rPr>
          <w:rFonts w:asciiTheme="majorBidi" w:hAnsiTheme="majorBidi" w:cstheme="majorBidi"/>
          <w:bCs/>
        </w:rPr>
        <w:t>12</w:t>
      </w:r>
      <w:r w:rsidR="0007192E">
        <w:rPr>
          <w:rFonts w:asciiTheme="majorBidi" w:hAnsiTheme="majorBidi" w:cstheme="majorBidi"/>
          <w:bCs/>
        </w:rPr>
        <w:t>)</w:t>
      </w:r>
      <w:r w:rsidR="008335AE" w:rsidRPr="00276613">
        <w:rPr>
          <w:rFonts w:asciiTheme="majorBidi" w:hAnsiTheme="majorBidi" w:cstheme="majorBidi"/>
          <w:bCs/>
        </w:rPr>
        <w:t>-pilot country</w:t>
      </w:r>
      <w:r w:rsidR="004A35C2" w:rsidRPr="003F6D84">
        <w:rPr>
          <w:rStyle w:val="FootnoteReference"/>
          <w:rFonts w:asciiTheme="majorBidi" w:hAnsiTheme="majorBidi" w:cstheme="majorBidi"/>
          <w:bCs/>
        </w:rPr>
        <w:footnoteReference w:id="8"/>
      </w:r>
      <w:r w:rsidR="004A35C2" w:rsidRPr="00276613">
        <w:rPr>
          <w:rFonts w:asciiTheme="majorBidi" w:hAnsiTheme="majorBidi" w:cstheme="majorBidi"/>
          <w:bCs/>
        </w:rPr>
        <w:t xml:space="preserve"> </w:t>
      </w:r>
      <w:r w:rsidR="008335AE" w:rsidRPr="00276613">
        <w:rPr>
          <w:rFonts w:asciiTheme="majorBidi" w:hAnsiTheme="majorBidi" w:cstheme="majorBidi"/>
          <w:bCs/>
        </w:rPr>
        <w:t xml:space="preserve"> on mainstreaming land governance in Africa (MELA</w:t>
      </w:r>
      <w:r w:rsidR="001C3049">
        <w:rPr>
          <w:rFonts w:asciiTheme="majorBidi" w:hAnsiTheme="majorBidi" w:cstheme="majorBidi"/>
          <w:bCs/>
        </w:rPr>
        <w:t>)</w:t>
      </w:r>
    </w:p>
    <w:p w:rsidR="00D60D94" w:rsidRDefault="00D60D94" w:rsidP="000F741B">
      <w:pPr>
        <w:pStyle w:val="ListParagraph"/>
        <w:ind w:left="0"/>
        <w:jc w:val="both"/>
        <w:rPr>
          <w:rFonts w:asciiTheme="majorBidi" w:hAnsiTheme="majorBidi" w:cstheme="majorBidi"/>
          <w:bCs/>
        </w:rPr>
      </w:pPr>
    </w:p>
    <w:p w:rsidR="00AD5177" w:rsidRPr="008E3738" w:rsidRDefault="000E1A18" w:rsidP="008E3738">
      <w:pPr>
        <w:pStyle w:val="ListParagraph"/>
        <w:numPr>
          <w:ilvl w:val="0"/>
          <w:numId w:val="20"/>
        </w:numPr>
        <w:ind w:left="0"/>
        <w:jc w:val="both"/>
        <w:rPr>
          <w:rFonts w:asciiTheme="majorBidi" w:hAnsiTheme="majorBidi" w:cstheme="majorBidi"/>
          <w:bCs/>
        </w:rPr>
      </w:pPr>
      <w:r w:rsidRPr="008E3738">
        <w:rPr>
          <w:rFonts w:asciiTheme="majorBidi" w:hAnsiTheme="majorBidi" w:cstheme="majorBidi"/>
          <w:bCs/>
        </w:rPr>
        <w:t xml:space="preserve">Building on the success </w:t>
      </w:r>
      <w:r w:rsidR="00673645" w:rsidRPr="008E3738">
        <w:rPr>
          <w:rFonts w:asciiTheme="majorBidi" w:hAnsiTheme="majorBidi" w:cstheme="majorBidi"/>
          <w:bCs/>
        </w:rPr>
        <w:t xml:space="preserve">of the IGAD programme, the LPI </w:t>
      </w:r>
      <w:r w:rsidR="00224AF6" w:rsidRPr="008E3738">
        <w:rPr>
          <w:rFonts w:asciiTheme="majorBidi" w:hAnsiTheme="majorBidi" w:cstheme="majorBidi"/>
          <w:bCs/>
        </w:rPr>
        <w:t>collaborated</w:t>
      </w:r>
      <w:r w:rsidR="00673645" w:rsidRPr="008E3738">
        <w:rPr>
          <w:rFonts w:asciiTheme="majorBidi" w:hAnsiTheme="majorBidi" w:cstheme="majorBidi"/>
          <w:bCs/>
        </w:rPr>
        <w:t xml:space="preserve"> with COMESA, EAC, ECCAS, ECOWAS and SADC to finalise </w:t>
      </w:r>
      <w:r w:rsidR="001E4B59" w:rsidRPr="008E3738">
        <w:rPr>
          <w:rFonts w:asciiTheme="majorBidi" w:hAnsiTheme="majorBidi" w:cstheme="majorBidi"/>
          <w:b/>
          <w:bCs/>
        </w:rPr>
        <w:t>work plans</w:t>
      </w:r>
      <w:r w:rsidR="00673645" w:rsidRPr="008E3738">
        <w:rPr>
          <w:rFonts w:asciiTheme="majorBidi" w:hAnsiTheme="majorBidi" w:cstheme="majorBidi"/>
          <w:b/>
          <w:bCs/>
        </w:rPr>
        <w:t xml:space="preserve"> </w:t>
      </w:r>
      <w:r w:rsidR="00935303" w:rsidRPr="008E3738">
        <w:rPr>
          <w:rFonts w:asciiTheme="majorBidi" w:hAnsiTheme="majorBidi" w:cstheme="majorBidi"/>
          <w:b/>
          <w:bCs/>
        </w:rPr>
        <w:t xml:space="preserve">and </w:t>
      </w:r>
      <w:r w:rsidR="00A67329">
        <w:rPr>
          <w:rFonts w:asciiTheme="majorBidi" w:hAnsiTheme="majorBidi" w:cstheme="majorBidi"/>
          <w:b/>
          <w:bCs/>
        </w:rPr>
        <w:t xml:space="preserve">joint </w:t>
      </w:r>
      <w:r w:rsidR="00935303" w:rsidRPr="008E3738">
        <w:rPr>
          <w:rFonts w:asciiTheme="majorBidi" w:hAnsiTheme="majorBidi" w:cstheme="majorBidi"/>
          <w:b/>
          <w:bCs/>
        </w:rPr>
        <w:t xml:space="preserve">project documents </w:t>
      </w:r>
      <w:r w:rsidR="00673645" w:rsidRPr="008E3738">
        <w:rPr>
          <w:rFonts w:asciiTheme="majorBidi" w:hAnsiTheme="majorBidi" w:cstheme="majorBidi"/>
          <w:b/>
          <w:bCs/>
        </w:rPr>
        <w:t>for mainstreaming land governance</w:t>
      </w:r>
      <w:r w:rsidR="00673645" w:rsidRPr="008E3738">
        <w:rPr>
          <w:rFonts w:asciiTheme="majorBidi" w:hAnsiTheme="majorBidi" w:cstheme="majorBidi"/>
          <w:bCs/>
        </w:rPr>
        <w:t xml:space="preserve"> in the regional economic communities (REC) project documents</w:t>
      </w:r>
      <w:r w:rsidR="00935303" w:rsidRPr="008E3738">
        <w:rPr>
          <w:rFonts w:asciiTheme="majorBidi" w:hAnsiTheme="majorBidi" w:cstheme="majorBidi"/>
          <w:bCs/>
        </w:rPr>
        <w:t xml:space="preserve">. Resources were availed/mobilized for </w:t>
      </w:r>
      <w:r w:rsidR="00673645" w:rsidRPr="008E3738">
        <w:rPr>
          <w:rFonts w:asciiTheme="majorBidi" w:hAnsiTheme="majorBidi" w:cstheme="majorBidi"/>
          <w:bCs/>
        </w:rPr>
        <w:t>COMESA and ECOWAS. However</w:t>
      </w:r>
      <w:r w:rsidR="00A7325D" w:rsidRPr="008E3738">
        <w:rPr>
          <w:rFonts w:asciiTheme="majorBidi" w:hAnsiTheme="majorBidi" w:cstheme="majorBidi"/>
          <w:bCs/>
        </w:rPr>
        <w:t>,</w:t>
      </w:r>
      <w:r w:rsidR="00673645" w:rsidRPr="008E3738">
        <w:rPr>
          <w:rFonts w:asciiTheme="majorBidi" w:hAnsiTheme="majorBidi" w:cstheme="majorBidi"/>
          <w:bCs/>
        </w:rPr>
        <w:t xml:space="preserve"> </w:t>
      </w:r>
      <w:r w:rsidR="00935303" w:rsidRPr="008E3738">
        <w:rPr>
          <w:rFonts w:asciiTheme="majorBidi" w:hAnsiTheme="majorBidi" w:cstheme="majorBidi"/>
          <w:bCs/>
        </w:rPr>
        <w:t xml:space="preserve">a </w:t>
      </w:r>
      <w:r w:rsidR="00673645" w:rsidRPr="008E3738">
        <w:rPr>
          <w:rFonts w:asciiTheme="majorBidi" w:hAnsiTheme="majorBidi" w:cstheme="majorBidi"/>
          <w:b/>
          <w:bCs/>
        </w:rPr>
        <w:t xml:space="preserve">firm pledge for funding the LPI </w:t>
      </w:r>
      <w:r w:rsidR="00935303" w:rsidRPr="008E3738">
        <w:rPr>
          <w:rFonts w:asciiTheme="majorBidi" w:hAnsiTheme="majorBidi" w:cstheme="majorBidi"/>
          <w:b/>
          <w:bCs/>
        </w:rPr>
        <w:t>was withdrawn</w:t>
      </w:r>
      <w:r w:rsidR="00935303" w:rsidRPr="008E3738">
        <w:rPr>
          <w:rFonts w:asciiTheme="majorBidi" w:hAnsiTheme="majorBidi" w:cstheme="majorBidi"/>
          <w:bCs/>
        </w:rPr>
        <w:t xml:space="preserve"> putting on hold the </w:t>
      </w:r>
      <w:r w:rsidR="00673645" w:rsidRPr="008E3738">
        <w:rPr>
          <w:rFonts w:asciiTheme="majorBidi" w:hAnsiTheme="majorBidi" w:cstheme="majorBidi"/>
          <w:bCs/>
        </w:rPr>
        <w:t>development of REC programs o</w:t>
      </w:r>
      <w:r w:rsidR="00935303" w:rsidRPr="008E3738">
        <w:rPr>
          <w:rFonts w:asciiTheme="majorBidi" w:hAnsiTheme="majorBidi" w:cstheme="majorBidi"/>
          <w:bCs/>
        </w:rPr>
        <w:t xml:space="preserve">n land governance. </w:t>
      </w:r>
    </w:p>
    <w:p w:rsidR="00D23E80" w:rsidRDefault="00D23E80" w:rsidP="00976670">
      <w:pPr>
        <w:ind w:left="360"/>
        <w:jc w:val="both"/>
        <w:rPr>
          <w:rFonts w:asciiTheme="majorBidi" w:hAnsiTheme="majorBidi" w:cstheme="majorBidi"/>
          <w:bCs/>
        </w:rPr>
      </w:pPr>
    </w:p>
    <w:p w:rsidR="00540149" w:rsidRDefault="00AB5BF2" w:rsidP="00976670">
      <w:pPr>
        <w:jc w:val="both"/>
        <w:rPr>
          <w:rFonts w:asciiTheme="majorBidi" w:hAnsiTheme="majorBidi" w:cstheme="majorBidi"/>
          <w:b/>
          <w:bCs/>
        </w:rPr>
      </w:pPr>
      <w:r>
        <w:rPr>
          <w:rFonts w:asciiTheme="majorBidi" w:hAnsiTheme="majorBidi" w:cstheme="majorBidi"/>
          <w:b/>
          <w:bCs/>
        </w:rPr>
        <w:lastRenderedPageBreak/>
        <w:t xml:space="preserve">SUPPORTING </w:t>
      </w:r>
      <w:r w:rsidR="003A6956">
        <w:rPr>
          <w:rFonts w:asciiTheme="majorBidi" w:hAnsiTheme="majorBidi" w:cstheme="majorBidi"/>
          <w:b/>
          <w:bCs/>
        </w:rPr>
        <w:t xml:space="preserve">LAND POLICY DEVELOPMENT AND IMPLEMENTATION </w:t>
      </w:r>
    </w:p>
    <w:p w:rsidR="003A6956" w:rsidRDefault="003A6956" w:rsidP="00976670">
      <w:pPr>
        <w:jc w:val="both"/>
        <w:rPr>
          <w:rFonts w:asciiTheme="majorBidi" w:hAnsiTheme="majorBidi" w:cstheme="majorBidi"/>
          <w:b/>
          <w:bCs/>
        </w:rPr>
      </w:pPr>
    </w:p>
    <w:p w:rsidR="00540149" w:rsidRPr="00F051CD" w:rsidRDefault="000914EC" w:rsidP="00F051CD">
      <w:pPr>
        <w:pStyle w:val="ListParagraph"/>
        <w:numPr>
          <w:ilvl w:val="0"/>
          <w:numId w:val="20"/>
        </w:numPr>
        <w:tabs>
          <w:tab w:val="center" w:pos="0"/>
        </w:tabs>
        <w:ind w:left="0"/>
        <w:jc w:val="both"/>
        <w:rPr>
          <w:rFonts w:asciiTheme="majorBidi" w:hAnsiTheme="majorBidi" w:cstheme="majorBidi"/>
          <w:bCs/>
        </w:rPr>
      </w:pPr>
      <w:r w:rsidRPr="00F051CD">
        <w:rPr>
          <w:rFonts w:asciiTheme="majorBidi" w:hAnsiTheme="majorBidi" w:cstheme="majorBidi"/>
          <w:bCs/>
        </w:rPr>
        <w:t xml:space="preserve">The AU Declaration on Land Issues and Challenges urges Member States to “review their land sectors with a view to developing comprehensive policies which take into account their peculiar needs.” </w:t>
      </w:r>
      <w:r w:rsidR="00A4061C">
        <w:rPr>
          <w:rFonts w:asciiTheme="majorBidi" w:hAnsiTheme="majorBidi" w:cstheme="majorBidi"/>
          <w:bCs/>
        </w:rPr>
        <w:t>The AU Declaration on Land</w:t>
      </w:r>
      <w:r w:rsidRPr="00F051CD">
        <w:rPr>
          <w:rFonts w:asciiTheme="majorBidi" w:hAnsiTheme="majorBidi" w:cstheme="majorBidi"/>
          <w:bCs/>
        </w:rPr>
        <w:t xml:space="preserve"> also advised</w:t>
      </w:r>
      <w:r w:rsidR="00A4061C">
        <w:rPr>
          <w:rFonts w:asciiTheme="majorBidi" w:hAnsiTheme="majorBidi" w:cstheme="majorBidi"/>
          <w:bCs/>
        </w:rPr>
        <w:t xml:space="preserve"> Member States</w:t>
      </w:r>
      <w:r w:rsidRPr="00F051CD">
        <w:rPr>
          <w:rFonts w:asciiTheme="majorBidi" w:hAnsiTheme="majorBidi" w:cstheme="majorBidi"/>
          <w:bCs/>
        </w:rPr>
        <w:t xml:space="preserve"> </w:t>
      </w:r>
      <w:r w:rsidR="00635731" w:rsidRPr="00F051CD">
        <w:rPr>
          <w:rFonts w:asciiTheme="majorBidi" w:hAnsiTheme="majorBidi" w:cstheme="majorBidi"/>
          <w:bCs/>
        </w:rPr>
        <w:t xml:space="preserve">“to take the steps outlined in the Framework and Guidelines on </w:t>
      </w:r>
      <w:r w:rsidR="00202D39">
        <w:rPr>
          <w:rFonts w:asciiTheme="majorBidi" w:hAnsiTheme="majorBidi" w:cstheme="majorBidi"/>
          <w:bCs/>
        </w:rPr>
        <w:t>L</w:t>
      </w:r>
      <w:r w:rsidR="00202D39" w:rsidRPr="00F051CD">
        <w:rPr>
          <w:rFonts w:asciiTheme="majorBidi" w:hAnsiTheme="majorBidi" w:cstheme="majorBidi"/>
          <w:bCs/>
        </w:rPr>
        <w:t xml:space="preserve">and </w:t>
      </w:r>
      <w:r w:rsidR="00635731" w:rsidRPr="00F051CD">
        <w:rPr>
          <w:rFonts w:asciiTheme="majorBidi" w:hAnsiTheme="majorBidi" w:cstheme="majorBidi"/>
          <w:bCs/>
        </w:rPr>
        <w:t xml:space="preserve">Policy in Africa for their land policy development and implementation strategies.” The AU Commission, in the auspices of the LPI has made progress in the past two years in supporting </w:t>
      </w:r>
      <w:r w:rsidR="00202D39">
        <w:rPr>
          <w:rFonts w:asciiTheme="majorBidi" w:hAnsiTheme="majorBidi" w:cstheme="majorBidi"/>
          <w:bCs/>
        </w:rPr>
        <w:t>M</w:t>
      </w:r>
      <w:r w:rsidR="00202D39" w:rsidRPr="00F051CD">
        <w:rPr>
          <w:rFonts w:asciiTheme="majorBidi" w:hAnsiTheme="majorBidi" w:cstheme="majorBidi"/>
          <w:bCs/>
        </w:rPr>
        <w:t xml:space="preserve">ember </w:t>
      </w:r>
      <w:r w:rsidR="00202D39">
        <w:rPr>
          <w:rFonts w:asciiTheme="majorBidi" w:hAnsiTheme="majorBidi" w:cstheme="majorBidi"/>
          <w:bCs/>
        </w:rPr>
        <w:t>S</w:t>
      </w:r>
      <w:r w:rsidR="00202D39" w:rsidRPr="00F051CD">
        <w:rPr>
          <w:rFonts w:asciiTheme="majorBidi" w:hAnsiTheme="majorBidi" w:cstheme="majorBidi"/>
          <w:bCs/>
        </w:rPr>
        <w:t>tate</w:t>
      </w:r>
      <w:r w:rsidR="00202D39">
        <w:rPr>
          <w:rFonts w:asciiTheme="majorBidi" w:hAnsiTheme="majorBidi" w:cstheme="majorBidi"/>
          <w:bCs/>
        </w:rPr>
        <w:t>s’</w:t>
      </w:r>
      <w:r w:rsidR="00202D39" w:rsidRPr="00F051CD">
        <w:rPr>
          <w:rFonts w:asciiTheme="majorBidi" w:hAnsiTheme="majorBidi" w:cstheme="majorBidi"/>
          <w:bCs/>
        </w:rPr>
        <w:t xml:space="preserve"> </w:t>
      </w:r>
      <w:r w:rsidR="00635731" w:rsidRPr="00F051CD">
        <w:rPr>
          <w:rFonts w:asciiTheme="majorBidi" w:hAnsiTheme="majorBidi" w:cstheme="majorBidi"/>
          <w:bCs/>
        </w:rPr>
        <w:t xml:space="preserve">efforts in the area of land policy development and implementation. </w:t>
      </w:r>
      <w:r w:rsidR="00247B25" w:rsidRPr="00F051CD">
        <w:rPr>
          <w:rFonts w:asciiTheme="majorBidi" w:hAnsiTheme="majorBidi" w:cstheme="majorBidi"/>
          <w:bCs/>
        </w:rPr>
        <w:t>In this regard, technical assistance was provided and</w:t>
      </w:r>
      <w:r w:rsidR="00635731" w:rsidRPr="00F051CD">
        <w:rPr>
          <w:rFonts w:asciiTheme="majorBidi" w:hAnsiTheme="majorBidi" w:cstheme="majorBidi"/>
          <w:bCs/>
        </w:rPr>
        <w:t xml:space="preserve"> pilot projects </w:t>
      </w:r>
      <w:r w:rsidR="00A4061C">
        <w:rPr>
          <w:rFonts w:asciiTheme="majorBidi" w:hAnsiTheme="majorBidi" w:cstheme="majorBidi"/>
          <w:bCs/>
        </w:rPr>
        <w:t>with</w:t>
      </w:r>
      <w:r w:rsidR="00635731" w:rsidRPr="00F051CD">
        <w:rPr>
          <w:rFonts w:asciiTheme="majorBidi" w:hAnsiTheme="majorBidi" w:cstheme="majorBidi"/>
          <w:bCs/>
        </w:rPr>
        <w:t xml:space="preserve"> key highlights of results</w:t>
      </w:r>
      <w:r w:rsidR="00247B25" w:rsidRPr="00F051CD">
        <w:rPr>
          <w:rFonts w:asciiTheme="majorBidi" w:hAnsiTheme="majorBidi" w:cstheme="majorBidi"/>
          <w:bCs/>
        </w:rPr>
        <w:t xml:space="preserve"> achieve </w:t>
      </w:r>
      <w:r w:rsidR="00A4061C">
        <w:rPr>
          <w:rFonts w:asciiTheme="majorBidi" w:hAnsiTheme="majorBidi" w:cstheme="majorBidi"/>
          <w:bCs/>
        </w:rPr>
        <w:t xml:space="preserve">outlined </w:t>
      </w:r>
      <w:r w:rsidR="00635731" w:rsidRPr="00F051CD">
        <w:rPr>
          <w:rFonts w:asciiTheme="majorBidi" w:hAnsiTheme="majorBidi" w:cstheme="majorBidi"/>
          <w:bCs/>
        </w:rPr>
        <w:t xml:space="preserve">here below. </w:t>
      </w:r>
    </w:p>
    <w:p w:rsidR="000914EC" w:rsidRDefault="000914EC" w:rsidP="00976670">
      <w:pPr>
        <w:jc w:val="both"/>
        <w:rPr>
          <w:rFonts w:asciiTheme="majorBidi" w:hAnsiTheme="majorBidi" w:cstheme="majorBidi"/>
          <w:b/>
          <w:bCs/>
        </w:rPr>
      </w:pPr>
    </w:p>
    <w:p w:rsidR="00D23E80" w:rsidRPr="0057074E" w:rsidRDefault="00247B25" w:rsidP="00C342D2">
      <w:pPr>
        <w:pStyle w:val="ListParagraph"/>
        <w:numPr>
          <w:ilvl w:val="0"/>
          <w:numId w:val="20"/>
        </w:numPr>
        <w:ind w:left="0"/>
        <w:jc w:val="both"/>
        <w:rPr>
          <w:rFonts w:asciiTheme="majorBidi" w:hAnsiTheme="majorBidi" w:cstheme="majorBidi"/>
          <w:bCs/>
        </w:rPr>
      </w:pPr>
      <w:r w:rsidRPr="0057074E">
        <w:rPr>
          <w:rFonts w:asciiTheme="majorBidi" w:hAnsiTheme="majorBidi" w:cstheme="majorBidi"/>
          <w:b/>
          <w:bCs/>
        </w:rPr>
        <w:t>Support to land policy development in Zambia:</w:t>
      </w:r>
      <w:r w:rsidRPr="0057074E">
        <w:rPr>
          <w:rFonts w:asciiTheme="majorBidi" w:hAnsiTheme="majorBidi" w:cstheme="majorBidi"/>
          <w:bCs/>
        </w:rPr>
        <w:t xml:space="preserve"> The </w:t>
      </w:r>
      <w:r w:rsidR="00E837D4" w:rsidRPr="0057074E">
        <w:rPr>
          <w:rFonts w:asciiTheme="majorBidi" w:hAnsiTheme="majorBidi" w:cstheme="majorBidi"/>
          <w:bCs/>
        </w:rPr>
        <w:t>LPI</w:t>
      </w:r>
      <w:r w:rsidRPr="0057074E">
        <w:rPr>
          <w:rFonts w:asciiTheme="majorBidi" w:hAnsiTheme="majorBidi" w:cstheme="majorBidi"/>
          <w:bCs/>
        </w:rPr>
        <w:t>, with financial support from</w:t>
      </w:r>
      <w:r w:rsidR="00E837D4" w:rsidRPr="0057074E">
        <w:rPr>
          <w:rFonts w:asciiTheme="majorBidi" w:hAnsiTheme="majorBidi" w:cstheme="majorBidi"/>
          <w:bCs/>
        </w:rPr>
        <w:t xml:space="preserve"> </w:t>
      </w:r>
      <w:r w:rsidRPr="0057074E">
        <w:rPr>
          <w:rFonts w:asciiTheme="majorBidi" w:hAnsiTheme="majorBidi" w:cstheme="majorBidi"/>
          <w:bCs/>
        </w:rPr>
        <w:t xml:space="preserve">the European Union (EU) and technical assistance from ECA, </w:t>
      </w:r>
      <w:r w:rsidR="00E837D4" w:rsidRPr="0057074E">
        <w:rPr>
          <w:rFonts w:asciiTheme="majorBidi" w:hAnsiTheme="majorBidi" w:cstheme="majorBidi"/>
          <w:bCs/>
        </w:rPr>
        <w:t xml:space="preserve">implemented </w:t>
      </w:r>
      <w:r w:rsidRPr="0057074E">
        <w:rPr>
          <w:rFonts w:asciiTheme="majorBidi" w:hAnsiTheme="majorBidi" w:cstheme="majorBidi"/>
          <w:bCs/>
        </w:rPr>
        <w:t>a</w:t>
      </w:r>
      <w:r w:rsidR="00E837D4" w:rsidRPr="0057074E">
        <w:rPr>
          <w:rFonts w:asciiTheme="majorBidi" w:hAnsiTheme="majorBidi" w:cstheme="majorBidi"/>
          <w:bCs/>
        </w:rPr>
        <w:t xml:space="preserve"> project to support the </w:t>
      </w:r>
      <w:r w:rsidR="0033127B">
        <w:rPr>
          <w:rFonts w:asciiTheme="majorBidi" w:hAnsiTheme="majorBidi" w:cstheme="majorBidi"/>
          <w:bCs/>
        </w:rPr>
        <w:t>review</w:t>
      </w:r>
      <w:r w:rsidR="00E837D4" w:rsidRPr="0057074E">
        <w:rPr>
          <w:rFonts w:asciiTheme="majorBidi" w:hAnsiTheme="majorBidi" w:cstheme="majorBidi"/>
          <w:bCs/>
        </w:rPr>
        <w:t xml:space="preserve"> of the national land policy. In this regard</w:t>
      </w:r>
      <w:r w:rsidR="00817778">
        <w:rPr>
          <w:rFonts w:asciiTheme="majorBidi" w:hAnsiTheme="majorBidi" w:cstheme="majorBidi"/>
          <w:bCs/>
        </w:rPr>
        <w:t>,</w:t>
      </w:r>
      <w:r w:rsidR="00E837D4" w:rsidRPr="0057074E">
        <w:rPr>
          <w:rFonts w:asciiTheme="majorBidi" w:hAnsiTheme="majorBidi" w:cstheme="majorBidi"/>
          <w:bCs/>
        </w:rPr>
        <w:t xml:space="preserve"> Zambia </w:t>
      </w:r>
      <w:r w:rsidR="0033127B">
        <w:rPr>
          <w:rFonts w:asciiTheme="majorBidi" w:hAnsiTheme="majorBidi" w:cstheme="majorBidi"/>
          <w:bCs/>
        </w:rPr>
        <w:t>operationalised</w:t>
      </w:r>
      <w:r w:rsidR="00E837D4" w:rsidRPr="0057074E">
        <w:rPr>
          <w:rFonts w:asciiTheme="majorBidi" w:hAnsiTheme="majorBidi" w:cstheme="majorBidi"/>
          <w:bCs/>
        </w:rPr>
        <w:t xml:space="preserve"> an inclusive and participatory multi-stakeholder platform to engage all relevant actors as per the Framework and Guidelines on Land Policy in Africa. Through the project, the government engage</w:t>
      </w:r>
      <w:r w:rsidR="0033127B">
        <w:rPr>
          <w:rFonts w:asciiTheme="majorBidi" w:hAnsiTheme="majorBidi" w:cstheme="majorBidi"/>
          <w:bCs/>
        </w:rPr>
        <w:t>d</w:t>
      </w:r>
      <w:r w:rsidR="00E837D4" w:rsidRPr="0057074E">
        <w:rPr>
          <w:rFonts w:asciiTheme="majorBidi" w:hAnsiTheme="majorBidi" w:cstheme="majorBidi"/>
          <w:bCs/>
        </w:rPr>
        <w:t xml:space="preserve"> development partners </w:t>
      </w:r>
      <w:r w:rsidR="00237B4A" w:rsidRPr="0057074E">
        <w:rPr>
          <w:rFonts w:asciiTheme="majorBidi" w:hAnsiTheme="majorBidi" w:cstheme="majorBidi"/>
          <w:bCs/>
        </w:rPr>
        <w:t>incl</w:t>
      </w:r>
      <w:r w:rsidR="0033127B">
        <w:rPr>
          <w:rFonts w:asciiTheme="majorBidi" w:hAnsiTheme="majorBidi" w:cstheme="majorBidi"/>
          <w:bCs/>
        </w:rPr>
        <w:t xml:space="preserve">uding USAID, UN-Habitat and the </w:t>
      </w:r>
      <w:r w:rsidR="00237B4A" w:rsidRPr="0057074E">
        <w:rPr>
          <w:rFonts w:asciiTheme="majorBidi" w:hAnsiTheme="majorBidi" w:cstheme="majorBidi"/>
          <w:bCs/>
        </w:rPr>
        <w:t xml:space="preserve">World Bank </w:t>
      </w:r>
      <w:r w:rsidR="0033127B">
        <w:rPr>
          <w:rFonts w:asciiTheme="majorBidi" w:hAnsiTheme="majorBidi" w:cstheme="majorBidi"/>
          <w:bCs/>
        </w:rPr>
        <w:t>securing</w:t>
      </w:r>
      <w:r w:rsidR="00817778" w:rsidRPr="0057074E">
        <w:rPr>
          <w:rFonts w:asciiTheme="majorBidi" w:hAnsiTheme="majorBidi" w:cstheme="majorBidi"/>
          <w:bCs/>
        </w:rPr>
        <w:t xml:space="preserve"> </w:t>
      </w:r>
      <w:r w:rsidR="0033127B">
        <w:rPr>
          <w:rFonts w:asciiTheme="majorBidi" w:hAnsiTheme="majorBidi" w:cstheme="majorBidi"/>
          <w:bCs/>
        </w:rPr>
        <w:t xml:space="preserve">support, </w:t>
      </w:r>
      <w:r w:rsidR="00237B4A" w:rsidRPr="0057074E">
        <w:rPr>
          <w:rFonts w:asciiTheme="majorBidi" w:hAnsiTheme="majorBidi" w:cstheme="majorBidi"/>
          <w:bCs/>
        </w:rPr>
        <w:t xml:space="preserve">including resources and technical assistance </w:t>
      </w:r>
      <w:r w:rsidR="00E837D4" w:rsidRPr="0057074E">
        <w:rPr>
          <w:rFonts w:asciiTheme="majorBidi" w:hAnsiTheme="majorBidi" w:cstheme="majorBidi"/>
          <w:bCs/>
        </w:rPr>
        <w:t>for consultations with traditiona</w:t>
      </w:r>
      <w:r w:rsidR="00237B4A" w:rsidRPr="0057074E">
        <w:rPr>
          <w:rFonts w:asciiTheme="majorBidi" w:hAnsiTheme="majorBidi" w:cstheme="majorBidi"/>
          <w:bCs/>
        </w:rPr>
        <w:t>l chiefs and other stakeholders</w:t>
      </w:r>
      <w:r w:rsidR="0033127B">
        <w:rPr>
          <w:rFonts w:asciiTheme="majorBidi" w:hAnsiTheme="majorBidi" w:cstheme="majorBidi"/>
          <w:bCs/>
        </w:rPr>
        <w:t>,</w:t>
      </w:r>
      <w:r w:rsidR="00237B4A" w:rsidRPr="0057074E">
        <w:rPr>
          <w:rFonts w:asciiTheme="majorBidi" w:hAnsiTheme="majorBidi" w:cstheme="majorBidi"/>
          <w:bCs/>
        </w:rPr>
        <w:t xml:space="preserve"> and an assessment of land management institutions.</w:t>
      </w:r>
      <w:r w:rsidR="00E837D4" w:rsidRPr="0057074E">
        <w:rPr>
          <w:rFonts w:asciiTheme="majorBidi" w:hAnsiTheme="majorBidi" w:cstheme="majorBidi"/>
          <w:bCs/>
        </w:rPr>
        <w:t xml:space="preserve"> </w:t>
      </w:r>
      <w:r w:rsidR="00AF1365" w:rsidRPr="0057074E">
        <w:rPr>
          <w:rFonts w:asciiTheme="majorBidi" w:hAnsiTheme="majorBidi" w:cstheme="majorBidi"/>
          <w:bCs/>
        </w:rPr>
        <w:t>The LPI provided technical inputs in partnership with t</w:t>
      </w:r>
      <w:r w:rsidR="00E837D4" w:rsidRPr="0057074E">
        <w:rPr>
          <w:rFonts w:asciiTheme="majorBidi" w:hAnsiTheme="majorBidi" w:cstheme="majorBidi"/>
          <w:bCs/>
        </w:rPr>
        <w:t xml:space="preserve">he </w:t>
      </w:r>
      <w:r w:rsidR="00AF1365" w:rsidRPr="0057074E">
        <w:rPr>
          <w:rFonts w:asciiTheme="majorBidi" w:hAnsiTheme="majorBidi" w:cstheme="majorBidi"/>
          <w:bCs/>
        </w:rPr>
        <w:t>University</w:t>
      </w:r>
      <w:r w:rsidRPr="0057074E">
        <w:rPr>
          <w:rFonts w:asciiTheme="majorBidi" w:hAnsiTheme="majorBidi" w:cstheme="majorBidi"/>
          <w:bCs/>
        </w:rPr>
        <w:t xml:space="preserve"> of Zambia</w:t>
      </w:r>
      <w:r w:rsidR="0033127B">
        <w:rPr>
          <w:rFonts w:asciiTheme="majorBidi" w:hAnsiTheme="majorBidi" w:cstheme="majorBidi"/>
          <w:bCs/>
        </w:rPr>
        <w:t>,</w:t>
      </w:r>
      <w:r w:rsidR="00AF1365" w:rsidRPr="0057074E">
        <w:rPr>
          <w:rFonts w:asciiTheme="majorBidi" w:hAnsiTheme="majorBidi" w:cstheme="majorBidi"/>
          <w:bCs/>
        </w:rPr>
        <w:t xml:space="preserve"> to revise the</w:t>
      </w:r>
      <w:r w:rsidR="00E837D4" w:rsidRPr="0057074E">
        <w:rPr>
          <w:rFonts w:asciiTheme="majorBidi" w:hAnsiTheme="majorBidi" w:cstheme="majorBidi"/>
          <w:bCs/>
        </w:rPr>
        <w:t xml:space="preserve"> land policy</w:t>
      </w:r>
      <w:r w:rsidR="0033127B">
        <w:rPr>
          <w:rFonts w:asciiTheme="majorBidi" w:hAnsiTheme="majorBidi" w:cstheme="majorBidi"/>
          <w:bCs/>
        </w:rPr>
        <w:t>,</w:t>
      </w:r>
      <w:r w:rsidR="00E837D4" w:rsidRPr="0057074E">
        <w:rPr>
          <w:rFonts w:asciiTheme="majorBidi" w:hAnsiTheme="majorBidi" w:cstheme="majorBidi"/>
          <w:bCs/>
        </w:rPr>
        <w:t xml:space="preserve"> </w:t>
      </w:r>
      <w:r w:rsidR="0033127B">
        <w:rPr>
          <w:rFonts w:asciiTheme="majorBidi" w:hAnsiTheme="majorBidi" w:cstheme="majorBidi"/>
          <w:bCs/>
        </w:rPr>
        <w:t>including key</w:t>
      </w:r>
      <w:r w:rsidR="00E837D4" w:rsidRPr="0057074E">
        <w:rPr>
          <w:rFonts w:asciiTheme="majorBidi" w:hAnsiTheme="majorBidi" w:cstheme="majorBidi"/>
          <w:bCs/>
        </w:rPr>
        <w:t xml:space="preserve"> outcomes of discussions</w:t>
      </w:r>
      <w:r w:rsidR="00237B4A" w:rsidRPr="0057074E">
        <w:rPr>
          <w:rFonts w:asciiTheme="majorBidi" w:hAnsiTheme="majorBidi" w:cstheme="majorBidi"/>
          <w:bCs/>
        </w:rPr>
        <w:t>. The Zambia pilot study demonstrate</w:t>
      </w:r>
      <w:r w:rsidR="0033127B">
        <w:rPr>
          <w:rFonts w:asciiTheme="majorBidi" w:hAnsiTheme="majorBidi" w:cstheme="majorBidi"/>
          <w:bCs/>
        </w:rPr>
        <w:t>s</w:t>
      </w:r>
      <w:r w:rsidR="00237B4A" w:rsidRPr="0057074E">
        <w:rPr>
          <w:rFonts w:asciiTheme="majorBidi" w:hAnsiTheme="majorBidi" w:cstheme="majorBidi"/>
          <w:bCs/>
        </w:rPr>
        <w:t xml:space="preserve"> how the </w:t>
      </w:r>
      <w:r w:rsidR="00124F91">
        <w:rPr>
          <w:rFonts w:asciiTheme="majorBidi" w:hAnsiTheme="majorBidi" w:cstheme="majorBidi"/>
          <w:bCs/>
        </w:rPr>
        <w:t>F</w:t>
      </w:r>
      <w:r w:rsidR="00237B4A" w:rsidRPr="0057074E">
        <w:rPr>
          <w:rFonts w:asciiTheme="majorBidi" w:hAnsiTheme="majorBidi" w:cstheme="majorBidi"/>
          <w:bCs/>
        </w:rPr>
        <w:t xml:space="preserve">ramework and </w:t>
      </w:r>
      <w:r w:rsidR="00124F91">
        <w:rPr>
          <w:rFonts w:asciiTheme="majorBidi" w:hAnsiTheme="majorBidi" w:cstheme="majorBidi"/>
          <w:bCs/>
        </w:rPr>
        <w:t>G</w:t>
      </w:r>
      <w:r w:rsidR="00237B4A" w:rsidRPr="0057074E">
        <w:rPr>
          <w:rFonts w:asciiTheme="majorBidi" w:hAnsiTheme="majorBidi" w:cstheme="majorBidi"/>
          <w:bCs/>
        </w:rPr>
        <w:t xml:space="preserve">uidelines </w:t>
      </w:r>
      <w:r w:rsidR="0086637C" w:rsidRPr="0057074E">
        <w:rPr>
          <w:rFonts w:asciiTheme="majorBidi" w:hAnsiTheme="majorBidi" w:cstheme="majorBidi"/>
          <w:bCs/>
        </w:rPr>
        <w:t>could</w:t>
      </w:r>
      <w:r w:rsidR="00237B4A" w:rsidRPr="0057074E">
        <w:rPr>
          <w:rFonts w:asciiTheme="majorBidi" w:hAnsiTheme="majorBidi" w:cstheme="majorBidi"/>
          <w:bCs/>
        </w:rPr>
        <w:t xml:space="preserve"> be </w:t>
      </w:r>
      <w:r w:rsidRPr="0057074E">
        <w:rPr>
          <w:rFonts w:asciiTheme="majorBidi" w:hAnsiTheme="majorBidi" w:cstheme="majorBidi"/>
          <w:bCs/>
        </w:rPr>
        <w:t>operationalized at country level.</w:t>
      </w:r>
      <w:r w:rsidR="0057074E" w:rsidRPr="0057074E">
        <w:rPr>
          <w:rFonts w:asciiTheme="majorBidi" w:hAnsiTheme="majorBidi" w:cstheme="majorBidi"/>
          <w:bCs/>
        </w:rPr>
        <w:t xml:space="preserve"> </w:t>
      </w:r>
      <w:r w:rsidR="001060AE" w:rsidRPr="0057074E">
        <w:rPr>
          <w:rFonts w:asciiTheme="majorBidi" w:hAnsiTheme="majorBidi" w:cstheme="majorBidi"/>
          <w:bCs/>
        </w:rPr>
        <w:t>Th</w:t>
      </w:r>
      <w:r w:rsidR="006459E2">
        <w:rPr>
          <w:rFonts w:asciiTheme="majorBidi" w:hAnsiTheme="majorBidi" w:cstheme="majorBidi"/>
          <w:bCs/>
        </w:rPr>
        <w:t>e</w:t>
      </w:r>
      <w:r w:rsidR="001060AE" w:rsidRPr="0057074E">
        <w:rPr>
          <w:rFonts w:asciiTheme="majorBidi" w:hAnsiTheme="majorBidi" w:cstheme="majorBidi"/>
          <w:bCs/>
        </w:rPr>
        <w:t xml:space="preserve"> l</w:t>
      </w:r>
      <w:r w:rsidR="00237B4A" w:rsidRPr="0057074E">
        <w:rPr>
          <w:rFonts w:asciiTheme="majorBidi" w:hAnsiTheme="majorBidi" w:cstheme="majorBidi"/>
          <w:bCs/>
        </w:rPr>
        <w:t xml:space="preserve">essons drawn from </w:t>
      </w:r>
      <w:r w:rsidR="006459E2">
        <w:rPr>
          <w:rFonts w:asciiTheme="majorBidi" w:hAnsiTheme="majorBidi" w:cstheme="majorBidi"/>
          <w:bCs/>
        </w:rPr>
        <w:t xml:space="preserve">the </w:t>
      </w:r>
      <w:r w:rsidR="001413C3" w:rsidRPr="0057074E">
        <w:rPr>
          <w:rFonts w:asciiTheme="majorBidi" w:hAnsiTheme="majorBidi" w:cstheme="majorBidi"/>
          <w:bCs/>
        </w:rPr>
        <w:t xml:space="preserve">Zambia </w:t>
      </w:r>
      <w:r w:rsidR="00237B4A" w:rsidRPr="0057074E">
        <w:rPr>
          <w:rFonts w:asciiTheme="majorBidi" w:hAnsiTheme="majorBidi" w:cstheme="majorBidi"/>
          <w:bCs/>
        </w:rPr>
        <w:t xml:space="preserve">pilot are useful as many countries </w:t>
      </w:r>
      <w:r w:rsidR="0033127B">
        <w:rPr>
          <w:rFonts w:asciiTheme="majorBidi" w:hAnsiTheme="majorBidi" w:cstheme="majorBidi"/>
          <w:bCs/>
        </w:rPr>
        <w:t>domesticate</w:t>
      </w:r>
      <w:r w:rsidR="00ED33EA" w:rsidRPr="0057074E">
        <w:rPr>
          <w:rFonts w:asciiTheme="majorBidi" w:hAnsiTheme="majorBidi" w:cstheme="majorBidi"/>
          <w:bCs/>
        </w:rPr>
        <w:t xml:space="preserve"> the</w:t>
      </w:r>
      <w:r w:rsidR="00237B4A" w:rsidRPr="0057074E">
        <w:rPr>
          <w:rFonts w:asciiTheme="majorBidi" w:hAnsiTheme="majorBidi" w:cstheme="majorBidi"/>
          <w:bCs/>
        </w:rPr>
        <w:t xml:space="preserve"> F&amp;G and VGGT in pol</w:t>
      </w:r>
      <w:r w:rsidR="00ED33EA" w:rsidRPr="0057074E">
        <w:rPr>
          <w:rFonts w:asciiTheme="majorBidi" w:hAnsiTheme="majorBidi" w:cstheme="majorBidi"/>
          <w:bCs/>
        </w:rPr>
        <w:t xml:space="preserve">icy development at country level. Some of the main lessons </w:t>
      </w:r>
      <w:r w:rsidR="001060AE" w:rsidRPr="0057074E">
        <w:rPr>
          <w:rFonts w:asciiTheme="majorBidi" w:hAnsiTheme="majorBidi" w:cstheme="majorBidi"/>
          <w:bCs/>
        </w:rPr>
        <w:t>include the need for</w:t>
      </w:r>
      <w:r w:rsidR="009A6F5E" w:rsidRPr="0057074E">
        <w:rPr>
          <w:rFonts w:asciiTheme="majorBidi" w:hAnsiTheme="majorBidi" w:cstheme="majorBidi"/>
          <w:bCs/>
        </w:rPr>
        <w:t>:</w:t>
      </w:r>
      <w:r w:rsidR="0086637C">
        <w:rPr>
          <w:rFonts w:asciiTheme="majorBidi" w:hAnsiTheme="majorBidi" w:cstheme="majorBidi"/>
          <w:bCs/>
        </w:rPr>
        <w:t xml:space="preserve"> </w:t>
      </w:r>
      <w:r w:rsidR="006459E2">
        <w:rPr>
          <w:rFonts w:asciiTheme="majorBidi" w:hAnsiTheme="majorBidi" w:cstheme="majorBidi"/>
          <w:bCs/>
        </w:rPr>
        <w:t>i</w:t>
      </w:r>
      <w:r w:rsidR="009A6F5E" w:rsidRPr="0057074E">
        <w:rPr>
          <w:rFonts w:asciiTheme="majorBidi" w:hAnsiTheme="majorBidi" w:cstheme="majorBidi"/>
          <w:bCs/>
        </w:rPr>
        <w:t xml:space="preserve">) </w:t>
      </w:r>
      <w:r w:rsidR="00E53E70" w:rsidRPr="0057074E">
        <w:rPr>
          <w:rFonts w:asciiTheme="majorBidi" w:hAnsiTheme="majorBidi" w:cstheme="majorBidi"/>
          <w:bCs/>
        </w:rPr>
        <w:t xml:space="preserve">sustained </w:t>
      </w:r>
      <w:r w:rsidR="00237B4A" w:rsidRPr="0057074E">
        <w:rPr>
          <w:rFonts w:asciiTheme="majorBidi" w:hAnsiTheme="majorBidi" w:cstheme="majorBidi"/>
          <w:bCs/>
        </w:rPr>
        <w:t xml:space="preserve">commitment and leadership </w:t>
      </w:r>
      <w:r w:rsidR="00E53E70" w:rsidRPr="0057074E">
        <w:rPr>
          <w:rFonts w:asciiTheme="majorBidi" w:hAnsiTheme="majorBidi" w:cstheme="majorBidi"/>
          <w:bCs/>
        </w:rPr>
        <w:t xml:space="preserve">at the highest level </w:t>
      </w:r>
      <w:r w:rsidR="006459E2">
        <w:rPr>
          <w:rFonts w:asciiTheme="majorBidi" w:hAnsiTheme="majorBidi" w:cstheme="majorBidi"/>
          <w:bCs/>
        </w:rPr>
        <w:t>of</w:t>
      </w:r>
      <w:r w:rsidR="006459E2" w:rsidRPr="0057074E">
        <w:rPr>
          <w:rFonts w:asciiTheme="majorBidi" w:hAnsiTheme="majorBidi" w:cstheme="majorBidi"/>
          <w:bCs/>
        </w:rPr>
        <w:t xml:space="preserve"> </w:t>
      </w:r>
      <w:r w:rsidR="00237B4A" w:rsidRPr="0057074E">
        <w:rPr>
          <w:rFonts w:asciiTheme="majorBidi" w:hAnsiTheme="majorBidi" w:cstheme="majorBidi"/>
          <w:bCs/>
        </w:rPr>
        <w:t xml:space="preserve">government </w:t>
      </w:r>
      <w:r w:rsidR="0033127B">
        <w:rPr>
          <w:rFonts w:asciiTheme="majorBidi" w:hAnsiTheme="majorBidi" w:cstheme="majorBidi"/>
          <w:bCs/>
        </w:rPr>
        <w:t xml:space="preserve">throughout, </w:t>
      </w:r>
      <w:r w:rsidR="00ED33EA" w:rsidRPr="0057074E">
        <w:rPr>
          <w:rFonts w:asciiTheme="majorBidi" w:hAnsiTheme="majorBidi" w:cstheme="majorBidi"/>
          <w:bCs/>
        </w:rPr>
        <w:t>exemplified by t</w:t>
      </w:r>
      <w:r w:rsidR="001413C3" w:rsidRPr="0057074E">
        <w:rPr>
          <w:rFonts w:asciiTheme="majorBidi" w:hAnsiTheme="majorBidi" w:cstheme="majorBidi"/>
          <w:bCs/>
        </w:rPr>
        <w:t>he e</w:t>
      </w:r>
      <w:r w:rsidR="00E53E70" w:rsidRPr="0057074E">
        <w:rPr>
          <w:rFonts w:asciiTheme="majorBidi" w:hAnsiTheme="majorBidi" w:cstheme="majorBidi"/>
          <w:bCs/>
        </w:rPr>
        <w:t xml:space="preserve">stablishment of a special </w:t>
      </w:r>
      <w:r w:rsidR="009A6F5E" w:rsidRPr="0057074E">
        <w:rPr>
          <w:rFonts w:asciiTheme="majorBidi" w:hAnsiTheme="majorBidi" w:cstheme="majorBidi"/>
          <w:bCs/>
        </w:rPr>
        <w:t>unit,</w:t>
      </w:r>
      <w:r w:rsidR="00E53E70" w:rsidRPr="0057074E">
        <w:rPr>
          <w:rFonts w:asciiTheme="majorBidi" w:hAnsiTheme="majorBidi" w:cstheme="majorBidi"/>
          <w:bCs/>
        </w:rPr>
        <w:t xml:space="preserve"> under the </w:t>
      </w:r>
      <w:r w:rsidR="003C2283">
        <w:rPr>
          <w:rFonts w:asciiTheme="majorBidi" w:hAnsiTheme="majorBidi" w:cstheme="majorBidi"/>
          <w:bCs/>
        </w:rPr>
        <w:t>P</w:t>
      </w:r>
      <w:r w:rsidR="00E53E70" w:rsidRPr="0057074E">
        <w:rPr>
          <w:rFonts w:asciiTheme="majorBidi" w:hAnsiTheme="majorBidi" w:cstheme="majorBidi"/>
          <w:bCs/>
        </w:rPr>
        <w:t>residen</w:t>
      </w:r>
      <w:r w:rsidR="001060AE" w:rsidRPr="0057074E">
        <w:rPr>
          <w:rFonts w:asciiTheme="majorBidi" w:hAnsiTheme="majorBidi" w:cstheme="majorBidi"/>
          <w:bCs/>
        </w:rPr>
        <w:t>t or</w:t>
      </w:r>
      <w:r w:rsidR="00ED33EA" w:rsidRPr="0057074E">
        <w:rPr>
          <w:rFonts w:asciiTheme="majorBidi" w:hAnsiTheme="majorBidi" w:cstheme="majorBidi"/>
          <w:bCs/>
        </w:rPr>
        <w:t xml:space="preserve"> vice </w:t>
      </w:r>
      <w:r w:rsidR="003C2283">
        <w:rPr>
          <w:rFonts w:asciiTheme="majorBidi" w:hAnsiTheme="majorBidi" w:cstheme="majorBidi"/>
          <w:bCs/>
        </w:rPr>
        <w:t>P</w:t>
      </w:r>
      <w:r w:rsidR="00ED33EA" w:rsidRPr="0057074E">
        <w:rPr>
          <w:rFonts w:asciiTheme="majorBidi" w:hAnsiTheme="majorBidi" w:cstheme="majorBidi"/>
          <w:bCs/>
        </w:rPr>
        <w:t>resident</w:t>
      </w:r>
      <w:r w:rsidR="0086637C">
        <w:rPr>
          <w:rFonts w:asciiTheme="majorBidi" w:hAnsiTheme="majorBidi" w:cstheme="majorBidi"/>
          <w:bCs/>
        </w:rPr>
        <w:t>,</w:t>
      </w:r>
      <w:r w:rsidR="00ED33EA" w:rsidRPr="0057074E">
        <w:rPr>
          <w:rFonts w:asciiTheme="majorBidi" w:hAnsiTheme="majorBidi" w:cstheme="majorBidi"/>
          <w:bCs/>
        </w:rPr>
        <w:t xml:space="preserve"> to </w:t>
      </w:r>
      <w:r w:rsidR="001060AE" w:rsidRPr="0057074E">
        <w:rPr>
          <w:rFonts w:asciiTheme="majorBidi" w:hAnsiTheme="majorBidi" w:cstheme="majorBidi"/>
          <w:bCs/>
        </w:rPr>
        <w:t xml:space="preserve">support, </w:t>
      </w:r>
      <w:r w:rsidR="00E53E70" w:rsidRPr="0057074E">
        <w:rPr>
          <w:rFonts w:asciiTheme="majorBidi" w:hAnsiTheme="majorBidi" w:cstheme="majorBidi"/>
          <w:bCs/>
        </w:rPr>
        <w:t>coordinat</w:t>
      </w:r>
      <w:r w:rsidR="0033127B">
        <w:rPr>
          <w:rFonts w:asciiTheme="majorBidi" w:hAnsiTheme="majorBidi" w:cstheme="majorBidi"/>
          <w:bCs/>
        </w:rPr>
        <w:t>e</w:t>
      </w:r>
      <w:r w:rsidR="00943A06" w:rsidRPr="0057074E">
        <w:rPr>
          <w:rFonts w:asciiTheme="majorBidi" w:hAnsiTheme="majorBidi" w:cstheme="majorBidi"/>
          <w:bCs/>
        </w:rPr>
        <w:t xml:space="preserve"> and monitor</w:t>
      </w:r>
      <w:r w:rsidR="0033127B">
        <w:rPr>
          <w:rFonts w:asciiTheme="majorBidi" w:hAnsiTheme="majorBidi" w:cstheme="majorBidi"/>
          <w:bCs/>
        </w:rPr>
        <w:t xml:space="preserve"> the land policy process</w:t>
      </w:r>
      <w:r w:rsidR="00E53E70" w:rsidRPr="0057074E">
        <w:rPr>
          <w:rFonts w:asciiTheme="majorBidi" w:hAnsiTheme="majorBidi" w:cstheme="majorBidi"/>
          <w:bCs/>
        </w:rPr>
        <w:t xml:space="preserve">; </w:t>
      </w:r>
      <w:r w:rsidR="006459E2">
        <w:rPr>
          <w:rFonts w:asciiTheme="majorBidi" w:hAnsiTheme="majorBidi" w:cstheme="majorBidi"/>
          <w:bCs/>
        </w:rPr>
        <w:t>ii</w:t>
      </w:r>
      <w:r w:rsidR="009A6F5E" w:rsidRPr="0057074E">
        <w:rPr>
          <w:rFonts w:asciiTheme="majorBidi" w:hAnsiTheme="majorBidi" w:cstheme="majorBidi"/>
          <w:bCs/>
        </w:rPr>
        <w:t xml:space="preserve">) </w:t>
      </w:r>
      <w:r w:rsidR="0033127B">
        <w:rPr>
          <w:rFonts w:asciiTheme="majorBidi" w:hAnsiTheme="majorBidi" w:cstheme="majorBidi"/>
          <w:bCs/>
        </w:rPr>
        <w:t>a</w:t>
      </w:r>
      <w:r w:rsidR="00E53E70" w:rsidRPr="0057074E">
        <w:rPr>
          <w:rFonts w:asciiTheme="majorBidi" w:hAnsiTheme="majorBidi" w:cstheme="majorBidi"/>
          <w:bCs/>
        </w:rPr>
        <w:t xml:space="preserve">llocation of </w:t>
      </w:r>
      <w:r w:rsidR="001060AE" w:rsidRPr="0057074E">
        <w:rPr>
          <w:rFonts w:asciiTheme="majorBidi" w:hAnsiTheme="majorBidi" w:cstheme="majorBidi"/>
          <w:bCs/>
        </w:rPr>
        <w:t xml:space="preserve">adequate </w:t>
      </w:r>
      <w:r w:rsidR="00E53E70" w:rsidRPr="0057074E">
        <w:rPr>
          <w:rFonts w:asciiTheme="majorBidi" w:hAnsiTheme="majorBidi" w:cstheme="majorBidi"/>
          <w:bCs/>
        </w:rPr>
        <w:t xml:space="preserve">resources </w:t>
      </w:r>
      <w:r w:rsidR="001413C3" w:rsidRPr="0057074E">
        <w:rPr>
          <w:rFonts w:asciiTheme="majorBidi" w:hAnsiTheme="majorBidi" w:cstheme="majorBidi"/>
          <w:bCs/>
        </w:rPr>
        <w:t xml:space="preserve">is critical to </w:t>
      </w:r>
      <w:r w:rsidR="001060AE" w:rsidRPr="0057074E">
        <w:rPr>
          <w:rFonts w:asciiTheme="majorBidi" w:hAnsiTheme="majorBidi" w:cstheme="majorBidi"/>
          <w:bCs/>
        </w:rPr>
        <w:t>conduct research for an</w:t>
      </w:r>
      <w:r w:rsidR="001413C3" w:rsidRPr="0057074E">
        <w:rPr>
          <w:rFonts w:asciiTheme="majorBidi" w:hAnsiTheme="majorBidi" w:cstheme="majorBidi"/>
          <w:bCs/>
        </w:rPr>
        <w:t xml:space="preserve"> evidence</w:t>
      </w:r>
      <w:r w:rsidR="001060AE" w:rsidRPr="0057074E">
        <w:rPr>
          <w:rFonts w:asciiTheme="majorBidi" w:hAnsiTheme="majorBidi" w:cstheme="majorBidi"/>
          <w:bCs/>
        </w:rPr>
        <w:t>-based process, and for</w:t>
      </w:r>
      <w:r w:rsidR="001413C3" w:rsidRPr="0057074E">
        <w:rPr>
          <w:rFonts w:asciiTheme="majorBidi" w:hAnsiTheme="majorBidi" w:cstheme="majorBidi"/>
          <w:bCs/>
        </w:rPr>
        <w:t xml:space="preserve"> multi-stakeholder consultations; </w:t>
      </w:r>
      <w:r w:rsidR="006459E2">
        <w:rPr>
          <w:rFonts w:asciiTheme="majorBidi" w:hAnsiTheme="majorBidi" w:cstheme="majorBidi"/>
          <w:bCs/>
        </w:rPr>
        <w:t>iii</w:t>
      </w:r>
      <w:r w:rsidR="001413C3" w:rsidRPr="0057074E">
        <w:rPr>
          <w:rFonts w:asciiTheme="majorBidi" w:hAnsiTheme="majorBidi" w:cstheme="majorBidi"/>
          <w:bCs/>
        </w:rPr>
        <w:t>)</w:t>
      </w:r>
      <w:r w:rsidR="00E53E70" w:rsidRPr="0057074E">
        <w:rPr>
          <w:rFonts w:asciiTheme="majorBidi" w:hAnsiTheme="majorBidi" w:cstheme="majorBidi"/>
          <w:bCs/>
        </w:rPr>
        <w:t xml:space="preserve"> while led by government, land policy </w:t>
      </w:r>
      <w:r w:rsidR="001413C3" w:rsidRPr="0057074E">
        <w:rPr>
          <w:rFonts w:asciiTheme="majorBidi" w:hAnsiTheme="majorBidi" w:cstheme="majorBidi"/>
          <w:bCs/>
        </w:rPr>
        <w:t xml:space="preserve">development </w:t>
      </w:r>
      <w:r w:rsidR="00E53E70" w:rsidRPr="0057074E">
        <w:rPr>
          <w:rFonts w:asciiTheme="majorBidi" w:hAnsiTheme="majorBidi" w:cstheme="majorBidi"/>
          <w:bCs/>
        </w:rPr>
        <w:t>processes need t</w:t>
      </w:r>
      <w:r w:rsidR="00167A77" w:rsidRPr="0057074E">
        <w:rPr>
          <w:rFonts w:asciiTheme="majorBidi" w:hAnsiTheme="majorBidi" w:cstheme="majorBidi"/>
          <w:bCs/>
        </w:rPr>
        <w:t xml:space="preserve">o draw in all key stakeholders, preferably </w:t>
      </w:r>
      <w:r w:rsidR="001060AE" w:rsidRPr="0057074E">
        <w:rPr>
          <w:rFonts w:asciiTheme="majorBidi" w:hAnsiTheme="majorBidi" w:cstheme="majorBidi"/>
          <w:bCs/>
        </w:rPr>
        <w:t>establishing a multi-sectoral advisory</w:t>
      </w:r>
      <w:r w:rsidR="00167A77" w:rsidRPr="0057074E">
        <w:rPr>
          <w:rFonts w:asciiTheme="majorBidi" w:hAnsiTheme="majorBidi" w:cstheme="majorBidi"/>
          <w:bCs/>
        </w:rPr>
        <w:t xml:space="preserve"> committee </w:t>
      </w:r>
      <w:r w:rsidR="001060AE" w:rsidRPr="0057074E">
        <w:rPr>
          <w:rFonts w:asciiTheme="majorBidi" w:hAnsiTheme="majorBidi" w:cstheme="majorBidi"/>
          <w:bCs/>
        </w:rPr>
        <w:t>or</w:t>
      </w:r>
      <w:r w:rsidR="00167A77" w:rsidRPr="0057074E">
        <w:rPr>
          <w:rFonts w:asciiTheme="majorBidi" w:hAnsiTheme="majorBidi" w:cstheme="majorBidi"/>
          <w:bCs/>
        </w:rPr>
        <w:t xml:space="preserve"> task force to collate views and recommend revisions </w:t>
      </w:r>
      <w:r w:rsidR="0033127B">
        <w:rPr>
          <w:rFonts w:asciiTheme="majorBidi" w:hAnsiTheme="majorBidi" w:cstheme="majorBidi"/>
          <w:bCs/>
        </w:rPr>
        <w:t>of</w:t>
      </w:r>
      <w:r w:rsidR="001413C3" w:rsidRPr="0057074E">
        <w:rPr>
          <w:rFonts w:asciiTheme="majorBidi" w:hAnsiTheme="majorBidi" w:cstheme="majorBidi"/>
          <w:bCs/>
        </w:rPr>
        <w:t xml:space="preserve"> </w:t>
      </w:r>
      <w:r w:rsidR="00B1219B" w:rsidRPr="0057074E">
        <w:rPr>
          <w:rFonts w:asciiTheme="majorBidi" w:hAnsiTheme="majorBidi" w:cstheme="majorBidi"/>
          <w:bCs/>
        </w:rPr>
        <w:t xml:space="preserve">the policy; and </w:t>
      </w:r>
      <w:r w:rsidR="006459E2">
        <w:rPr>
          <w:rFonts w:asciiTheme="majorBidi" w:hAnsiTheme="majorBidi" w:cstheme="majorBidi"/>
          <w:bCs/>
        </w:rPr>
        <w:t>iv</w:t>
      </w:r>
      <w:r w:rsidR="00B1219B" w:rsidRPr="0057074E">
        <w:rPr>
          <w:rFonts w:asciiTheme="majorBidi" w:hAnsiTheme="majorBidi" w:cstheme="majorBidi"/>
          <w:bCs/>
        </w:rPr>
        <w:t>) donor coordination and alignment is useful in channeling financial support and technical assistance.</w:t>
      </w:r>
    </w:p>
    <w:p w:rsidR="00083BE1" w:rsidRDefault="00083BE1" w:rsidP="00976670">
      <w:pPr>
        <w:jc w:val="both"/>
        <w:rPr>
          <w:rFonts w:asciiTheme="majorBidi" w:hAnsiTheme="majorBidi" w:cstheme="majorBidi"/>
          <w:bCs/>
        </w:rPr>
      </w:pPr>
    </w:p>
    <w:p w:rsidR="00BE59FC" w:rsidRPr="0057074E" w:rsidRDefault="001D5F06" w:rsidP="0057074E">
      <w:pPr>
        <w:pStyle w:val="ListParagraph"/>
        <w:numPr>
          <w:ilvl w:val="0"/>
          <w:numId w:val="20"/>
        </w:numPr>
        <w:ind w:left="0"/>
        <w:jc w:val="both"/>
        <w:rPr>
          <w:rFonts w:asciiTheme="majorBidi" w:hAnsiTheme="majorBidi" w:cstheme="majorBidi"/>
          <w:bCs/>
        </w:rPr>
      </w:pPr>
      <w:r w:rsidRPr="0057074E">
        <w:rPr>
          <w:rFonts w:asciiTheme="majorBidi" w:hAnsiTheme="majorBidi" w:cstheme="majorBidi"/>
          <w:b/>
          <w:bCs/>
        </w:rPr>
        <w:t xml:space="preserve">Technical Support to </w:t>
      </w:r>
      <w:r w:rsidR="00083BE1" w:rsidRPr="0057074E">
        <w:rPr>
          <w:rFonts w:asciiTheme="majorBidi" w:hAnsiTheme="majorBidi" w:cstheme="majorBidi"/>
          <w:b/>
          <w:bCs/>
        </w:rPr>
        <w:t>Liberia</w:t>
      </w:r>
      <w:r w:rsidR="00BE59FC" w:rsidRPr="0057074E">
        <w:rPr>
          <w:rFonts w:asciiTheme="majorBidi" w:hAnsiTheme="majorBidi" w:cstheme="majorBidi"/>
          <w:b/>
          <w:bCs/>
        </w:rPr>
        <w:t xml:space="preserve"> on land policy implementation</w:t>
      </w:r>
      <w:r w:rsidR="00AB5BF2" w:rsidRPr="0057074E">
        <w:rPr>
          <w:rFonts w:asciiTheme="majorBidi" w:hAnsiTheme="majorBidi" w:cstheme="majorBidi"/>
          <w:b/>
          <w:bCs/>
        </w:rPr>
        <w:t xml:space="preserve">: </w:t>
      </w:r>
      <w:r w:rsidR="00BE59FC" w:rsidRPr="0057074E">
        <w:rPr>
          <w:rFonts w:asciiTheme="majorBidi" w:hAnsiTheme="majorBidi" w:cstheme="majorBidi"/>
          <w:bCs/>
        </w:rPr>
        <w:t>Following a request for support from the Liberia Land Authority, the LPI conducted a scoping m</w:t>
      </w:r>
      <w:r w:rsidR="00861EAA" w:rsidRPr="0057074E">
        <w:rPr>
          <w:rFonts w:asciiTheme="majorBidi" w:hAnsiTheme="majorBidi" w:cstheme="majorBidi"/>
          <w:bCs/>
        </w:rPr>
        <w:t>ission to agree o</w:t>
      </w:r>
      <w:r w:rsidR="00BE59FC" w:rsidRPr="0057074E">
        <w:rPr>
          <w:rFonts w:asciiTheme="majorBidi" w:hAnsiTheme="majorBidi" w:cstheme="majorBidi"/>
          <w:bCs/>
        </w:rPr>
        <w:t>n areas of support with Liberia. The key areas of support include c</w:t>
      </w:r>
      <w:r w:rsidR="00861EAA" w:rsidRPr="0057074E">
        <w:rPr>
          <w:rFonts w:asciiTheme="majorBidi" w:hAnsiTheme="majorBidi" w:cstheme="majorBidi"/>
          <w:bCs/>
        </w:rPr>
        <w:t xml:space="preserve">apacity development of </w:t>
      </w:r>
      <w:r w:rsidR="00BE59FC" w:rsidRPr="0057074E">
        <w:rPr>
          <w:rFonts w:asciiTheme="majorBidi" w:hAnsiTheme="majorBidi" w:cstheme="majorBidi"/>
          <w:bCs/>
        </w:rPr>
        <w:t>Land Authority to develop a strategic business plan with terms of reference already developed. The LPI is also mobilizing partners to support the development of a Land Information System (LIS). In addition</w:t>
      </w:r>
      <w:r w:rsidR="00C14514">
        <w:rPr>
          <w:rFonts w:asciiTheme="majorBidi" w:hAnsiTheme="majorBidi" w:cstheme="majorBidi"/>
          <w:bCs/>
        </w:rPr>
        <w:t>,</w:t>
      </w:r>
      <w:r w:rsidR="00BE59FC" w:rsidRPr="0057074E">
        <w:rPr>
          <w:rFonts w:asciiTheme="majorBidi" w:hAnsiTheme="majorBidi" w:cstheme="majorBidi"/>
          <w:bCs/>
        </w:rPr>
        <w:t xml:space="preserve"> the LPI has begun working closely with the Land Authority and University of Liberia to develop a graduate program on land governance. </w:t>
      </w:r>
    </w:p>
    <w:p w:rsidR="001D5F06" w:rsidRDefault="001D5F06" w:rsidP="00976670">
      <w:pPr>
        <w:jc w:val="both"/>
        <w:rPr>
          <w:rFonts w:asciiTheme="majorBidi" w:hAnsiTheme="majorBidi" w:cstheme="majorBidi"/>
          <w:b/>
          <w:bCs/>
        </w:rPr>
      </w:pPr>
    </w:p>
    <w:p w:rsidR="001D5F06" w:rsidRDefault="001D5F06" w:rsidP="002440BA">
      <w:pPr>
        <w:pStyle w:val="ListParagraph"/>
        <w:numPr>
          <w:ilvl w:val="0"/>
          <w:numId w:val="20"/>
        </w:numPr>
        <w:ind w:left="90"/>
        <w:jc w:val="both"/>
      </w:pPr>
      <w:r w:rsidRPr="002440BA">
        <w:rPr>
          <w:b/>
        </w:rPr>
        <w:t>Technical Support to Kenya Task Force on Land Leases</w:t>
      </w:r>
      <w:r w:rsidR="00AB5BF2" w:rsidRPr="002440BA">
        <w:rPr>
          <w:b/>
        </w:rPr>
        <w:t xml:space="preserve">: </w:t>
      </w:r>
      <w:r w:rsidR="00E4058E">
        <w:t xml:space="preserve">Based on a request from the </w:t>
      </w:r>
      <w:r w:rsidR="00A26567">
        <w:t>Kenya Taskforce on Land Leases established by Cabinet Secretary, Ministry of Lands and Physical Planning</w:t>
      </w:r>
      <w:r w:rsidR="00E4058E">
        <w:t>,</w:t>
      </w:r>
      <w:r w:rsidR="00A26567">
        <w:t xml:space="preserve"> </w:t>
      </w:r>
      <w:r w:rsidR="00E4058E">
        <w:t>the LP</w:t>
      </w:r>
      <w:r w:rsidR="00A26567">
        <w:t xml:space="preserve">I provided technical assistance, drawing in experience from other parts of the continental and the world. The Task Force was successful in </w:t>
      </w:r>
      <w:r w:rsidR="00A26567">
        <w:rPr>
          <w:b/>
          <w:i/>
        </w:rPr>
        <w:t>investigating</w:t>
      </w:r>
      <w:r w:rsidRPr="002440BA">
        <w:rPr>
          <w:b/>
          <w:i/>
        </w:rPr>
        <w:t xml:space="preserve"> the process of renewal and extension of leases since </w:t>
      </w:r>
      <w:r w:rsidR="00A50604">
        <w:rPr>
          <w:b/>
          <w:i/>
        </w:rPr>
        <w:t xml:space="preserve">the </w:t>
      </w:r>
      <w:r w:rsidR="00A26567">
        <w:rPr>
          <w:b/>
          <w:i/>
        </w:rPr>
        <w:t>approal</w:t>
      </w:r>
      <w:r w:rsidR="00A50604">
        <w:rPr>
          <w:b/>
          <w:i/>
        </w:rPr>
        <w:t xml:space="preserve"> of the comprehensive land policy in </w:t>
      </w:r>
      <w:r w:rsidRPr="002440BA">
        <w:rPr>
          <w:b/>
          <w:i/>
        </w:rPr>
        <w:t>2010</w:t>
      </w:r>
      <w:r w:rsidR="00E4058E" w:rsidRPr="002440BA">
        <w:rPr>
          <w:b/>
          <w:i/>
        </w:rPr>
        <w:t xml:space="preserve">. </w:t>
      </w:r>
      <w:r w:rsidR="00A26567">
        <w:t xml:space="preserve">The </w:t>
      </w:r>
      <w:r>
        <w:t xml:space="preserve">LPI </w:t>
      </w:r>
      <w:r w:rsidR="00E4058E">
        <w:t xml:space="preserve">shared lessons from </w:t>
      </w:r>
      <w:r w:rsidR="00A26567">
        <w:t xml:space="preserve">e.g. </w:t>
      </w:r>
      <w:r w:rsidR="00A11502" w:rsidRPr="002440BA">
        <w:rPr>
          <w:bCs/>
          <w:iCs/>
        </w:rPr>
        <w:t>Ghana, Malawi, Liberia and Namibia</w:t>
      </w:r>
      <w:r w:rsidR="00A26567">
        <w:rPr>
          <w:bCs/>
          <w:iCs/>
        </w:rPr>
        <w:t xml:space="preserve"> in this regard.</w:t>
      </w:r>
      <w:r w:rsidR="00E4058E">
        <w:t xml:space="preserve"> The support was </w:t>
      </w:r>
      <w:r w:rsidR="00E4058E">
        <w:lastRenderedPageBreak/>
        <w:t xml:space="preserve">critical in </w:t>
      </w:r>
      <w:r>
        <w:t>capacitat</w:t>
      </w:r>
      <w:r w:rsidR="00E4058E">
        <w:t>ing</w:t>
      </w:r>
      <w:r>
        <w:t xml:space="preserve"> the Taskforce to s</w:t>
      </w:r>
      <w:r w:rsidRPr="00F93062">
        <w:t>ituate the</w:t>
      </w:r>
      <w:r>
        <w:t>ir investigations and the</w:t>
      </w:r>
      <w:r w:rsidRPr="00F93062">
        <w:t xml:space="preserve"> management of leaseholds within the framework of </w:t>
      </w:r>
      <w:r w:rsidR="00E4058E">
        <w:t xml:space="preserve">continental and </w:t>
      </w:r>
      <w:r w:rsidRPr="00F93062">
        <w:t>global tools for good land governance for economic growth and poverty reduction.</w:t>
      </w:r>
      <w:r>
        <w:t xml:space="preserve"> </w:t>
      </w:r>
      <w:r w:rsidR="00044E5E">
        <w:t xml:space="preserve">LPI support was instrumental in </w:t>
      </w:r>
      <w:r w:rsidR="00044E5E" w:rsidRPr="002440BA">
        <w:rPr>
          <w:bCs/>
          <w:iCs/>
        </w:rPr>
        <w:t>demonstrating how the continental and global tools</w:t>
      </w:r>
      <w:r w:rsidR="00044E5E">
        <w:t xml:space="preserve"> such as the</w:t>
      </w:r>
      <w:r w:rsidR="00E4058E">
        <w:t xml:space="preserve"> </w:t>
      </w:r>
      <w:r w:rsidRPr="00F93062">
        <w:t>AU Declaration on Land</w:t>
      </w:r>
      <w:r w:rsidR="00E4058E">
        <w:t xml:space="preserve">; </w:t>
      </w:r>
      <w:r w:rsidRPr="00F93062">
        <w:t>Framework and Guidelines on Land Policy in Africa</w:t>
      </w:r>
      <w:r>
        <w:t xml:space="preserve"> (F&amp;G)</w:t>
      </w:r>
      <w:r w:rsidR="00E4058E">
        <w:t xml:space="preserve">; and the </w:t>
      </w:r>
      <w:r w:rsidRPr="003A6A56">
        <w:t>Voluntary Guidelines for the Responsible Governance of Tenure of Land, Fisheries and Forests in the Context of National Food Security (VGGT)</w:t>
      </w:r>
      <w:r w:rsidR="00044E5E">
        <w:t>,</w:t>
      </w:r>
      <w:r w:rsidR="00A11502">
        <w:t xml:space="preserve"> </w:t>
      </w:r>
      <w:r w:rsidRPr="002440BA">
        <w:rPr>
          <w:bCs/>
          <w:iCs/>
        </w:rPr>
        <w:t xml:space="preserve">could be ‘domesticated’ to </w:t>
      </w:r>
      <w:r w:rsidR="00044E5E">
        <w:rPr>
          <w:bCs/>
          <w:iCs/>
        </w:rPr>
        <w:t>address</w:t>
      </w:r>
      <w:r w:rsidRPr="002440BA">
        <w:rPr>
          <w:bCs/>
          <w:iCs/>
        </w:rPr>
        <w:t xml:space="preserve"> specific country level issues. </w:t>
      </w:r>
      <w:r w:rsidR="00CE4241" w:rsidRPr="002440BA">
        <w:rPr>
          <w:bCs/>
          <w:iCs/>
        </w:rPr>
        <w:t xml:space="preserve">The report of the Task Force was </w:t>
      </w:r>
      <w:r w:rsidR="00044E5E">
        <w:rPr>
          <w:bCs/>
          <w:iCs/>
        </w:rPr>
        <w:t>recently presented to the Minister and recommendations when implemented will</w:t>
      </w:r>
      <w:r w:rsidR="00CE4241" w:rsidRPr="002440BA">
        <w:rPr>
          <w:bCs/>
          <w:iCs/>
        </w:rPr>
        <w:t xml:space="preserve"> reduce fraud and corruption in the management of land leases.</w:t>
      </w:r>
    </w:p>
    <w:p w:rsidR="001D5F06" w:rsidRPr="00083BE1" w:rsidRDefault="001D5F06" w:rsidP="00976670">
      <w:pPr>
        <w:jc w:val="both"/>
        <w:rPr>
          <w:rFonts w:asciiTheme="majorBidi" w:hAnsiTheme="majorBidi" w:cstheme="majorBidi"/>
          <w:b/>
          <w:bCs/>
        </w:rPr>
      </w:pPr>
    </w:p>
    <w:p w:rsidR="00B1219B" w:rsidRDefault="00B1219B" w:rsidP="00976670">
      <w:pPr>
        <w:ind w:firstLine="720"/>
        <w:jc w:val="both"/>
        <w:rPr>
          <w:rFonts w:asciiTheme="majorBidi" w:hAnsiTheme="majorBidi" w:cstheme="majorBidi"/>
          <w:bCs/>
        </w:rPr>
      </w:pPr>
    </w:p>
    <w:p w:rsidR="00BE10BA" w:rsidRDefault="00BE10BA" w:rsidP="00976670">
      <w:pPr>
        <w:jc w:val="both"/>
        <w:rPr>
          <w:rFonts w:asciiTheme="majorBidi" w:hAnsiTheme="majorBidi" w:cstheme="majorBidi"/>
          <w:b/>
          <w:bCs/>
        </w:rPr>
      </w:pPr>
      <w:r>
        <w:rPr>
          <w:rFonts w:asciiTheme="majorBidi" w:hAnsiTheme="majorBidi" w:cstheme="majorBidi"/>
          <w:b/>
          <w:bCs/>
        </w:rPr>
        <w:t>IMPLEMENTATION OF LAND GOVERNANCE COMMITMENT</w:t>
      </w:r>
      <w:r w:rsidR="00F251DD">
        <w:rPr>
          <w:rFonts w:asciiTheme="majorBidi" w:hAnsiTheme="majorBidi" w:cstheme="majorBidi"/>
          <w:b/>
          <w:bCs/>
        </w:rPr>
        <w:t>S</w:t>
      </w:r>
      <w:r>
        <w:rPr>
          <w:rFonts w:asciiTheme="majorBidi" w:hAnsiTheme="majorBidi" w:cstheme="majorBidi"/>
          <w:b/>
          <w:bCs/>
        </w:rPr>
        <w:t xml:space="preserve"> IN </w:t>
      </w:r>
      <w:r w:rsidR="00800476">
        <w:rPr>
          <w:rFonts w:asciiTheme="majorBidi" w:hAnsiTheme="majorBidi" w:cstheme="majorBidi"/>
          <w:b/>
          <w:bCs/>
        </w:rPr>
        <w:t>AGRICUTURE</w:t>
      </w:r>
      <w:r w:rsidR="000755B6">
        <w:rPr>
          <w:rFonts w:asciiTheme="majorBidi" w:hAnsiTheme="majorBidi" w:cstheme="majorBidi"/>
          <w:b/>
          <w:bCs/>
        </w:rPr>
        <w:t xml:space="preserve"> </w:t>
      </w:r>
    </w:p>
    <w:p w:rsidR="00BD6EBE" w:rsidRDefault="00BD6EBE" w:rsidP="00976670">
      <w:pPr>
        <w:jc w:val="both"/>
        <w:rPr>
          <w:rFonts w:asciiTheme="majorBidi" w:hAnsiTheme="majorBidi" w:cstheme="majorBidi"/>
          <w:b/>
          <w:bCs/>
        </w:rPr>
      </w:pPr>
    </w:p>
    <w:p w:rsidR="00672725" w:rsidRPr="002440BA" w:rsidRDefault="00800476" w:rsidP="002440BA">
      <w:pPr>
        <w:pStyle w:val="ListParagraph"/>
        <w:numPr>
          <w:ilvl w:val="0"/>
          <w:numId w:val="20"/>
        </w:numPr>
        <w:ind w:left="90"/>
        <w:jc w:val="both"/>
        <w:rPr>
          <w:rFonts w:asciiTheme="majorBidi" w:hAnsiTheme="majorBidi" w:cstheme="majorBidi"/>
          <w:bCs/>
        </w:rPr>
      </w:pPr>
      <w:r w:rsidRPr="002440BA">
        <w:rPr>
          <w:rFonts w:asciiTheme="majorBidi" w:hAnsiTheme="majorBidi" w:cstheme="majorBidi"/>
          <w:bCs/>
        </w:rPr>
        <w:t xml:space="preserve">In line with the Ten Year Implementation Plan for Agenda 2063, the LPI implemented activities to support efforts to address land governance challenges in order to modernize agriculture for increased productivity and production (AU Goal 5). </w:t>
      </w:r>
      <w:r w:rsidR="005F7FD5" w:rsidRPr="002440BA">
        <w:rPr>
          <w:bCs/>
        </w:rPr>
        <w:t xml:space="preserve">In </w:t>
      </w:r>
      <w:r w:rsidRPr="002440BA">
        <w:rPr>
          <w:bCs/>
        </w:rPr>
        <w:t xml:space="preserve">particular, the LPI </w:t>
      </w:r>
      <w:r w:rsidR="005F7FD5" w:rsidRPr="002440BA">
        <w:rPr>
          <w:bCs/>
        </w:rPr>
        <w:t>support</w:t>
      </w:r>
      <w:r w:rsidRPr="002440BA">
        <w:rPr>
          <w:bCs/>
        </w:rPr>
        <w:t>ed</w:t>
      </w:r>
      <w:r w:rsidR="005F7FD5" w:rsidRPr="002440BA">
        <w:rPr>
          <w:bCs/>
        </w:rPr>
        <w:t xml:space="preserve"> </w:t>
      </w:r>
      <w:r w:rsidRPr="002440BA">
        <w:rPr>
          <w:bCs/>
        </w:rPr>
        <w:t>efforts of</w:t>
      </w:r>
      <w:r w:rsidR="005F7FD5" w:rsidRPr="002440BA">
        <w:rPr>
          <w:bCs/>
        </w:rPr>
        <w:t xml:space="preserve"> </w:t>
      </w:r>
      <w:r w:rsidR="008F4D33">
        <w:rPr>
          <w:bCs/>
        </w:rPr>
        <w:t>M</w:t>
      </w:r>
      <w:r w:rsidR="005F7FD5" w:rsidRPr="002440BA">
        <w:rPr>
          <w:bCs/>
        </w:rPr>
        <w:t xml:space="preserve">ember </w:t>
      </w:r>
      <w:r w:rsidR="008F4D33">
        <w:rPr>
          <w:bCs/>
        </w:rPr>
        <w:t>S</w:t>
      </w:r>
      <w:r w:rsidR="005F7FD5" w:rsidRPr="002440BA">
        <w:rPr>
          <w:bCs/>
        </w:rPr>
        <w:t xml:space="preserve">tates </w:t>
      </w:r>
      <w:r w:rsidRPr="002440BA">
        <w:rPr>
          <w:bCs/>
        </w:rPr>
        <w:t>to align the National Agriculture Investment Plans (NAIPs</w:t>
      </w:r>
      <w:r w:rsidR="0086637C" w:rsidRPr="002440BA">
        <w:rPr>
          <w:bCs/>
        </w:rPr>
        <w:t>) to</w:t>
      </w:r>
      <w:r w:rsidRPr="002440BA">
        <w:rPr>
          <w:bCs/>
        </w:rPr>
        <w:t xml:space="preserve"> targets of the 2014 </w:t>
      </w:r>
      <w:r w:rsidR="005F7FD5" w:rsidRPr="002440BA">
        <w:rPr>
          <w:bCs/>
        </w:rPr>
        <w:t>Malabo Declaration</w:t>
      </w:r>
      <w:r w:rsidR="005F7FD5" w:rsidRPr="002440BA">
        <w:rPr>
          <w:shd w:val="clear" w:color="auto" w:fill="FFFFFF"/>
        </w:rPr>
        <w:t> on </w:t>
      </w:r>
      <w:r w:rsidR="00D30A8C" w:rsidRPr="002440BA">
        <w:rPr>
          <w:shd w:val="clear" w:color="auto" w:fill="FFFFFF"/>
        </w:rPr>
        <w:t xml:space="preserve"> </w:t>
      </w:r>
      <w:r w:rsidR="005F7FD5" w:rsidRPr="002440BA">
        <w:rPr>
          <w:shd w:val="clear" w:color="auto" w:fill="FFFFFF"/>
        </w:rPr>
        <w:t>Agricultural</w:t>
      </w:r>
      <w:r w:rsidRPr="002440BA">
        <w:rPr>
          <w:shd w:val="clear" w:color="auto" w:fill="FFFFFF"/>
        </w:rPr>
        <w:t xml:space="preserve">. In this regard, </w:t>
      </w:r>
      <w:r w:rsidR="005F7FD5" w:rsidRPr="002440BA">
        <w:rPr>
          <w:shd w:val="clear" w:color="auto" w:fill="FFFFFF"/>
        </w:rPr>
        <w:t xml:space="preserve">the </w:t>
      </w:r>
      <w:r w:rsidR="00672725" w:rsidRPr="002440BA">
        <w:rPr>
          <w:bCs/>
        </w:rPr>
        <w:t xml:space="preserve">LPI </w:t>
      </w:r>
      <w:r w:rsidRPr="002440BA">
        <w:rPr>
          <w:bCs/>
        </w:rPr>
        <w:t xml:space="preserve">mobilized funding from the </w:t>
      </w:r>
      <w:r w:rsidRPr="002440BA">
        <w:rPr>
          <w:rFonts w:asciiTheme="majorBidi" w:hAnsiTheme="majorBidi" w:cstheme="majorBidi"/>
          <w:bCs/>
        </w:rPr>
        <w:t xml:space="preserve">International Fund for Agricultural Development (IFAD) and </w:t>
      </w:r>
      <w:r w:rsidRPr="002440BA">
        <w:rPr>
          <w:bCs/>
        </w:rPr>
        <w:t>collaborated</w:t>
      </w:r>
      <w:r w:rsidR="00672725" w:rsidRPr="002440BA">
        <w:rPr>
          <w:bCs/>
        </w:rPr>
        <w:t xml:space="preserve"> with the NEPAD Program Coordinating Agency (NPCA) to develop a multi-country pilot project</w:t>
      </w:r>
      <w:r w:rsidR="005F7FD5" w:rsidRPr="002440BA">
        <w:rPr>
          <w:bCs/>
        </w:rPr>
        <w:t>. The pilot project</w:t>
      </w:r>
      <w:r w:rsidR="00672725" w:rsidRPr="002440BA">
        <w:rPr>
          <w:bCs/>
        </w:rPr>
        <w:t xml:space="preserve"> on mainstreaming land governance in </w:t>
      </w:r>
      <w:r w:rsidR="005F7FD5" w:rsidRPr="002440BA">
        <w:rPr>
          <w:bCs/>
        </w:rPr>
        <w:t xml:space="preserve">the NAIPs of the </w:t>
      </w:r>
      <w:r w:rsidR="00672725" w:rsidRPr="002440BA">
        <w:rPr>
          <w:bCs/>
        </w:rPr>
        <w:t>Comprehensive African Agriculture Development programme (CAAD/NAIP)</w:t>
      </w:r>
      <w:r w:rsidR="005F7FD5" w:rsidRPr="002440BA">
        <w:rPr>
          <w:bCs/>
        </w:rPr>
        <w:t xml:space="preserve"> </w:t>
      </w:r>
      <w:r w:rsidR="005F7FD5" w:rsidRPr="002440BA">
        <w:rPr>
          <w:rFonts w:asciiTheme="majorBidi" w:hAnsiTheme="majorBidi" w:cstheme="majorBidi"/>
          <w:bCs/>
        </w:rPr>
        <w:t xml:space="preserve">was developed in line with </w:t>
      </w:r>
      <w:r w:rsidR="00672725" w:rsidRPr="002440BA">
        <w:rPr>
          <w:bCs/>
        </w:rPr>
        <w:t xml:space="preserve">recommendations </w:t>
      </w:r>
      <w:r w:rsidR="005F7FD5" w:rsidRPr="002440BA">
        <w:rPr>
          <w:bCs/>
        </w:rPr>
        <w:t xml:space="preserve">to conduct the project in countries at various stages of CAADP implementation </w:t>
      </w:r>
      <w:r w:rsidRPr="002440BA">
        <w:rPr>
          <w:bCs/>
        </w:rPr>
        <w:t xml:space="preserve">in order </w:t>
      </w:r>
      <w:r w:rsidR="005F7FD5" w:rsidRPr="002440BA">
        <w:rPr>
          <w:bCs/>
        </w:rPr>
        <w:t>to</w:t>
      </w:r>
      <w:r w:rsidR="00672725" w:rsidRPr="002440BA">
        <w:rPr>
          <w:bCs/>
        </w:rPr>
        <w:t xml:space="preserve"> draw </w:t>
      </w:r>
      <w:r w:rsidR="005F7FD5" w:rsidRPr="002440BA">
        <w:rPr>
          <w:bCs/>
        </w:rPr>
        <w:t xml:space="preserve">useful </w:t>
      </w:r>
      <w:r w:rsidR="00672725" w:rsidRPr="002440BA">
        <w:rPr>
          <w:bCs/>
        </w:rPr>
        <w:t xml:space="preserve">lessons </w:t>
      </w:r>
      <w:r w:rsidR="005F7FD5" w:rsidRPr="002440BA">
        <w:rPr>
          <w:bCs/>
        </w:rPr>
        <w:t xml:space="preserve">and promising practices and </w:t>
      </w:r>
      <w:r w:rsidR="000F741B">
        <w:rPr>
          <w:bCs/>
        </w:rPr>
        <w:t>develop</w:t>
      </w:r>
      <w:r w:rsidR="008F4D33" w:rsidRPr="002440BA">
        <w:rPr>
          <w:bCs/>
        </w:rPr>
        <w:t xml:space="preserve"> </w:t>
      </w:r>
      <w:r w:rsidR="005F7FD5" w:rsidRPr="002440BA">
        <w:rPr>
          <w:bCs/>
        </w:rPr>
        <w:t xml:space="preserve">capacity of </w:t>
      </w:r>
      <w:r w:rsidR="002768E3">
        <w:rPr>
          <w:bCs/>
        </w:rPr>
        <w:t>M</w:t>
      </w:r>
      <w:r w:rsidR="005F7FD5" w:rsidRPr="002440BA">
        <w:rPr>
          <w:bCs/>
        </w:rPr>
        <w:t xml:space="preserve">ember </w:t>
      </w:r>
      <w:r w:rsidR="002768E3">
        <w:rPr>
          <w:bCs/>
        </w:rPr>
        <w:t>S</w:t>
      </w:r>
      <w:r w:rsidR="005F7FD5" w:rsidRPr="002440BA">
        <w:rPr>
          <w:bCs/>
        </w:rPr>
        <w:t xml:space="preserve">tates. </w:t>
      </w:r>
      <w:r w:rsidR="00011ED5" w:rsidRPr="002440BA">
        <w:rPr>
          <w:rFonts w:asciiTheme="majorBidi" w:hAnsiTheme="majorBidi" w:cstheme="majorBidi"/>
          <w:bCs/>
        </w:rPr>
        <w:t xml:space="preserve">The project </w:t>
      </w:r>
      <w:r w:rsidR="00015987" w:rsidRPr="002440BA">
        <w:rPr>
          <w:rFonts w:asciiTheme="majorBidi" w:hAnsiTheme="majorBidi" w:cstheme="majorBidi"/>
          <w:bCs/>
        </w:rPr>
        <w:t>is being implemented in Cote d’Ivoire, Democratic Republic of Co</w:t>
      </w:r>
      <w:r w:rsidRPr="002440BA">
        <w:rPr>
          <w:rFonts w:asciiTheme="majorBidi" w:hAnsiTheme="majorBidi" w:cstheme="majorBidi"/>
          <w:bCs/>
        </w:rPr>
        <w:t>ngo</w:t>
      </w:r>
      <w:r w:rsidR="00D30A8C">
        <w:rPr>
          <w:rFonts w:asciiTheme="majorBidi" w:hAnsiTheme="majorBidi" w:cstheme="majorBidi"/>
          <w:bCs/>
        </w:rPr>
        <w:t xml:space="preserve"> (DRC)</w:t>
      </w:r>
      <w:r w:rsidRPr="002440BA">
        <w:rPr>
          <w:rFonts w:asciiTheme="majorBidi" w:hAnsiTheme="majorBidi" w:cstheme="majorBidi"/>
          <w:bCs/>
        </w:rPr>
        <w:t>, Madagascar, Malawi, Rwanda and</w:t>
      </w:r>
      <w:r w:rsidR="00015987" w:rsidRPr="002440BA">
        <w:rPr>
          <w:rFonts w:asciiTheme="majorBidi" w:hAnsiTheme="majorBidi" w:cstheme="majorBidi"/>
          <w:bCs/>
        </w:rPr>
        <w:t xml:space="preserve"> Tanzania</w:t>
      </w:r>
      <w:r w:rsidRPr="002440BA">
        <w:rPr>
          <w:rFonts w:asciiTheme="majorBidi" w:hAnsiTheme="majorBidi" w:cstheme="majorBidi"/>
          <w:bCs/>
        </w:rPr>
        <w:t>. It</w:t>
      </w:r>
      <w:r w:rsidR="00015987" w:rsidRPr="002440BA">
        <w:rPr>
          <w:rFonts w:asciiTheme="majorBidi" w:hAnsiTheme="majorBidi" w:cstheme="majorBidi"/>
          <w:bCs/>
        </w:rPr>
        <w:t xml:space="preserve"> </w:t>
      </w:r>
      <w:r w:rsidR="00016631" w:rsidRPr="002440BA">
        <w:rPr>
          <w:rFonts w:asciiTheme="majorBidi" w:hAnsiTheme="majorBidi" w:cstheme="majorBidi"/>
          <w:bCs/>
        </w:rPr>
        <w:t xml:space="preserve">has so far </w:t>
      </w:r>
      <w:r w:rsidR="00D30A8C">
        <w:rPr>
          <w:rFonts w:asciiTheme="majorBidi" w:hAnsiTheme="majorBidi" w:cstheme="majorBidi"/>
          <w:bCs/>
        </w:rPr>
        <w:t>generated</w:t>
      </w:r>
      <w:r w:rsidR="00016631" w:rsidRPr="002440BA">
        <w:rPr>
          <w:rFonts w:asciiTheme="majorBidi" w:hAnsiTheme="majorBidi" w:cstheme="majorBidi"/>
          <w:bCs/>
        </w:rPr>
        <w:t xml:space="preserve"> evidence on the key land governance issues hampering agricultural transformation</w:t>
      </w:r>
      <w:r w:rsidR="00015987" w:rsidRPr="002440BA">
        <w:rPr>
          <w:rFonts w:asciiTheme="majorBidi" w:hAnsiTheme="majorBidi" w:cstheme="majorBidi"/>
          <w:bCs/>
        </w:rPr>
        <w:t xml:space="preserve">; </w:t>
      </w:r>
      <w:r w:rsidR="000A39C1" w:rsidRPr="002440BA">
        <w:rPr>
          <w:rFonts w:asciiTheme="majorBidi" w:hAnsiTheme="majorBidi" w:cstheme="majorBidi"/>
          <w:bCs/>
        </w:rPr>
        <w:t xml:space="preserve">held multi-stakeholder fora to </w:t>
      </w:r>
      <w:r w:rsidR="00015987" w:rsidRPr="002440BA">
        <w:rPr>
          <w:rFonts w:asciiTheme="majorBidi" w:hAnsiTheme="majorBidi" w:cstheme="majorBidi"/>
          <w:bCs/>
        </w:rPr>
        <w:t xml:space="preserve">define </w:t>
      </w:r>
      <w:r w:rsidR="0045008C">
        <w:rPr>
          <w:rFonts w:asciiTheme="majorBidi" w:hAnsiTheme="majorBidi" w:cstheme="majorBidi"/>
          <w:bCs/>
        </w:rPr>
        <w:t xml:space="preserve">key actions and </w:t>
      </w:r>
      <w:r w:rsidR="00016631" w:rsidRPr="002440BA">
        <w:rPr>
          <w:rFonts w:asciiTheme="majorBidi" w:hAnsiTheme="majorBidi" w:cstheme="majorBidi"/>
          <w:bCs/>
        </w:rPr>
        <w:t xml:space="preserve">entry points for interventions </w:t>
      </w:r>
      <w:r w:rsidR="000A39C1" w:rsidRPr="002440BA">
        <w:rPr>
          <w:rFonts w:asciiTheme="majorBidi" w:hAnsiTheme="majorBidi" w:cstheme="majorBidi"/>
          <w:bCs/>
        </w:rPr>
        <w:t xml:space="preserve">to ensure the </w:t>
      </w:r>
      <w:r w:rsidR="00016631" w:rsidRPr="002440BA">
        <w:rPr>
          <w:rFonts w:asciiTheme="majorBidi" w:hAnsiTheme="majorBidi" w:cstheme="majorBidi"/>
          <w:bCs/>
        </w:rPr>
        <w:t xml:space="preserve">land sector </w:t>
      </w:r>
      <w:r w:rsidR="000A39C1" w:rsidRPr="002440BA">
        <w:rPr>
          <w:rFonts w:asciiTheme="majorBidi" w:hAnsiTheme="majorBidi" w:cstheme="majorBidi"/>
          <w:bCs/>
        </w:rPr>
        <w:t xml:space="preserve">supports the </w:t>
      </w:r>
      <w:r w:rsidR="00B43DEF" w:rsidRPr="002440BA">
        <w:rPr>
          <w:rFonts w:asciiTheme="majorBidi" w:hAnsiTheme="majorBidi" w:cstheme="majorBidi"/>
          <w:bCs/>
        </w:rPr>
        <w:t>ministr</w:t>
      </w:r>
      <w:r w:rsidR="00B43DEF">
        <w:rPr>
          <w:rFonts w:asciiTheme="majorBidi" w:hAnsiTheme="majorBidi" w:cstheme="majorBidi"/>
          <w:bCs/>
        </w:rPr>
        <w:t>ies</w:t>
      </w:r>
      <w:r w:rsidR="00B43DEF" w:rsidRPr="002440BA">
        <w:rPr>
          <w:rFonts w:asciiTheme="majorBidi" w:hAnsiTheme="majorBidi" w:cstheme="majorBidi"/>
          <w:bCs/>
        </w:rPr>
        <w:t xml:space="preserve"> </w:t>
      </w:r>
      <w:r w:rsidR="000A39C1" w:rsidRPr="002440BA">
        <w:rPr>
          <w:rFonts w:asciiTheme="majorBidi" w:hAnsiTheme="majorBidi" w:cstheme="majorBidi"/>
          <w:bCs/>
        </w:rPr>
        <w:t xml:space="preserve">of agriculture in alleviating challenges. </w:t>
      </w:r>
      <w:r w:rsidR="00016631" w:rsidRPr="002440BA">
        <w:rPr>
          <w:rFonts w:asciiTheme="majorBidi" w:hAnsiTheme="majorBidi" w:cstheme="majorBidi"/>
          <w:bCs/>
        </w:rPr>
        <w:t xml:space="preserve">Business plans </w:t>
      </w:r>
      <w:r w:rsidR="000A39C1" w:rsidRPr="002440BA">
        <w:rPr>
          <w:rFonts w:asciiTheme="majorBidi" w:hAnsiTheme="majorBidi" w:cstheme="majorBidi"/>
          <w:bCs/>
        </w:rPr>
        <w:t xml:space="preserve">defining actions </w:t>
      </w:r>
      <w:r w:rsidRPr="002440BA">
        <w:rPr>
          <w:rFonts w:asciiTheme="majorBidi" w:hAnsiTheme="majorBidi" w:cstheme="majorBidi"/>
          <w:bCs/>
        </w:rPr>
        <w:t xml:space="preserve">and resource needs </w:t>
      </w:r>
      <w:r w:rsidR="00015987" w:rsidRPr="002440BA">
        <w:rPr>
          <w:rFonts w:asciiTheme="majorBidi" w:hAnsiTheme="majorBidi" w:cstheme="majorBidi"/>
          <w:bCs/>
        </w:rPr>
        <w:t>were developed as a</w:t>
      </w:r>
      <w:r w:rsidR="000A39C1" w:rsidRPr="002440BA">
        <w:rPr>
          <w:rFonts w:asciiTheme="majorBidi" w:hAnsiTheme="majorBidi" w:cstheme="majorBidi"/>
          <w:bCs/>
        </w:rPr>
        <w:t xml:space="preserve"> basis for resource mobilization, including from internal budgetary resources. </w:t>
      </w:r>
      <w:r w:rsidRPr="002440BA">
        <w:rPr>
          <w:rFonts w:asciiTheme="majorBidi" w:hAnsiTheme="majorBidi" w:cstheme="majorBidi"/>
          <w:bCs/>
        </w:rPr>
        <w:t>Building on existing CAADP teams, l</w:t>
      </w:r>
      <w:r w:rsidR="000A39C1" w:rsidRPr="002440BA">
        <w:rPr>
          <w:rFonts w:asciiTheme="majorBidi" w:hAnsiTheme="majorBidi" w:cstheme="majorBidi"/>
          <w:bCs/>
        </w:rPr>
        <w:t>and-</w:t>
      </w:r>
      <w:r w:rsidR="00016631" w:rsidRPr="002440BA">
        <w:rPr>
          <w:rFonts w:asciiTheme="majorBidi" w:hAnsiTheme="majorBidi" w:cstheme="majorBidi"/>
          <w:bCs/>
        </w:rPr>
        <w:t>agriculture</w:t>
      </w:r>
      <w:r w:rsidR="000A39C1" w:rsidRPr="002440BA">
        <w:rPr>
          <w:rFonts w:asciiTheme="majorBidi" w:hAnsiTheme="majorBidi" w:cstheme="majorBidi"/>
          <w:bCs/>
        </w:rPr>
        <w:t xml:space="preserve"> </w:t>
      </w:r>
      <w:r w:rsidR="00016631" w:rsidRPr="002440BA">
        <w:rPr>
          <w:rFonts w:asciiTheme="majorBidi" w:hAnsiTheme="majorBidi" w:cstheme="majorBidi"/>
          <w:bCs/>
        </w:rPr>
        <w:t>task force</w:t>
      </w:r>
      <w:r w:rsidRPr="002440BA">
        <w:rPr>
          <w:rFonts w:asciiTheme="majorBidi" w:hAnsiTheme="majorBidi" w:cstheme="majorBidi"/>
          <w:bCs/>
        </w:rPr>
        <w:t>s</w:t>
      </w:r>
      <w:r w:rsidR="00016631" w:rsidRPr="002440BA">
        <w:rPr>
          <w:rFonts w:asciiTheme="majorBidi" w:hAnsiTheme="majorBidi" w:cstheme="majorBidi"/>
          <w:bCs/>
        </w:rPr>
        <w:t xml:space="preserve">/committees </w:t>
      </w:r>
      <w:r w:rsidR="000A39C1" w:rsidRPr="002440BA">
        <w:rPr>
          <w:rFonts w:asciiTheme="majorBidi" w:hAnsiTheme="majorBidi" w:cstheme="majorBidi"/>
          <w:bCs/>
        </w:rPr>
        <w:t xml:space="preserve">were strengthened </w:t>
      </w:r>
      <w:r w:rsidR="00EE5850" w:rsidRPr="002440BA">
        <w:rPr>
          <w:rFonts w:asciiTheme="majorBidi" w:hAnsiTheme="majorBidi" w:cstheme="majorBidi"/>
          <w:bCs/>
        </w:rPr>
        <w:t xml:space="preserve">and </w:t>
      </w:r>
      <w:r w:rsidR="0045008C">
        <w:rPr>
          <w:rFonts w:asciiTheme="majorBidi" w:hAnsiTheme="majorBidi" w:cstheme="majorBidi"/>
          <w:bCs/>
        </w:rPr>
        <w:t>are</w:t>
      </w:r>
      <w:r w:rsidR="00EE5850" w:rsidRPr="002440BA">
        <w:rPr>
          <w:rFonts w:asciiTheme="majorBidi" w:hAnsiTheme="majorBidi" w:cstheme="majorBidi"/>
          <w:bCs/>
        </w:rPr>
        <w:t xml:space="preserve"> successful in supporting </w:t>
      </w:r>
      <w:r w:rsidR="000A39C1" w:rsidRPr="002440BA">
        <w:rPr>
          <w:rFonts w:asciiTheme="majorBidi" w:hAnsiTheme="majorBidi" w:cstheme="majorBidi"/>
          <w:bCs/>
        </w:rPr>
        <w:t xml:space="preserve">revision of strategies and investment plans. </w:t>
      </w:r>
    </w:p>
    <w:p w:rsidR="00BE3F69" w:rsidRDefault="00BE3F69" w:rsidP="00976670">
      <w:pPr>
        <w:jc w:val="both"/>
        <w:rPr>
          <w:rFonts w:asciiTheme="majorBidi" w:hAnsiTheme="majorBidi" w:cstheme="majorBidi"/>
          <w:bCs/>
        </w:rPr>
      </w:pPr>
    </w:p>
    <w:p w:rsidR="00BE3F69" w:rsidRPr="00CA0F5F" w:rsidRDefault="005D61C2" w:rsidP="00CA0F5F">
      <w:pPr>
        <w:pStyle w:val="ListParagraph"/>
        <w:numPr>
          <w:ilvl w:val="0"/>
          <w:numId w:val="20"/>
        </w:numPr>
        <w:ind w:left="90" w:hanging="630"/>
        <w:jc w:val="both"/>
        <w:rPr>
          <w:rFonts w:asciiTheme="majorBidi" w:hAnsiTheme="majorBidi" w:cstheme="majorBidi"/>
          <w:bCs/>
        </w:rPr>
      </w:pPr>
      <w:r w:rsidRPr="00CA0F5F">
        <w:rPr>
          <w:rFonts w:asciiTheme="majorBidi" w:hAnsiTheme="majorBidi" w:cstheme="majorBidi"/>
          <w:bCs/>
        </w:rPr>
        <w:t xml:space="preserve">To enhance the agenda for integrating land governance concerns in the </w:t>
      </w:r>
      <w:r w:rsidR="004550EA">
        <w:rPr>
          <w:rFonts w:asciiTheme="majorBidi" w:hAnsiTheme="majorBidi" w:cstheme="majorBidi"/>
          <w:bCs/>
        </w:rPr>
        <w:t>NAIPs</w:t>
      </w:r>
      <w:r w:rsidRPr="00CA0F5F">
        <w:rPr>
          <w:rFonts w:asciiTheme="majorBidi" w:hAnsiTheme="majorBidi" w:cstheme="majorBidi"/>
          <w:bCs/>
        </w:rPr>
        <w:t>, t</w:t>
      </w:r>
      <w:r w:rsidR="00BE3F69" w:rsidRPr="00CA0F5F">
        <w:rPr>
          <w:rFonts w:asciiTheme="majorBidi" w:hAnsiTheme="majorBidi" w:cstheme="majorBidi"/>
          <w:bCs/>
        </w:rPr>
        <w:t xml:space="preserve">raining </w:t>
      </w:r>
      <w:r w:rsidRPr="00CA0F5F">
        <w:rPr>
          <w:rFonts w:asciiTheme="majorBidi" w:hAnsiTheme="majorBidi" w:cstheme="majorBidi"/>
          <w:bCs/>
        </w:rPr>
        <w:t>modules</w:t>
      </w:r>
      <w:r w:rsidR="00BE3F69" w:rsidRPr="00CA0F5F">
        <w:rPr>
          <w:rFonts w:asciiTheme="majorBidi" w:hAnsiTheme="majorBidi" w:cstheme="majorBidi"/>
          <w:bCs/>
        </w:rPr>
        <w:t xml:space="preserve"> are being finalized </w:t>
      </w:r>
      <w:r w:rsidR="004550EA" w:rsidRPr="00CA0F5F">
        <w:rPr>
          <w:rFonts w:asciiTheme="majorBidi" w:hAnsiTheme="majorBidi" w:cstheme="majorBidi"/>
          <w:bCs/>
        </w:rPr>
        <w:t xml:space="preserve">based on the </w:t>
      </w:r>
      <w:r w:rsidR="004550EA">
        <w:rPr>
          <w:rFonts w:asciiTheme="majorBidi" w:hAnsiTheme="majorBidi" w:cstheme="majorBidi"/>
          <w:bCs/>
        </w:rPr>
        <w:t>needs</w:t>
      </w:r>
      <w:r w:rsidR="004550EA" w:rsidRPr="00CA0F5F">
        <w:rPr>
          <w:rFonts w:asciiTheme="majorBidi" w:hAnsiTheme="majorBidi" w:cstheme="majorBidi"/>
          <w:bCs/>
        </w:rPr>
        <w:t xml:space="preserve"> identified through rigorous assessment of capacity needs</w:t>
      </w:r>
      <w:r w:rsidR="004550EA">
        <w:rPr>
          <w:rFonts w:asciiTheme="majorBidi" w:hAnsiTheme="majorBidi" w:cstheme="majorBidi"/>
          <w:bCs/>
        </w:rPr>
        <w:t>. Training will be conducted</w:t>
      </w:r>
      <w:r w:rsidR="004550EA" w:rsidRPr="00CA0F5F">
        <w:rPr>
          <w:rFonts w:asciiTheme="majorBidi" w:hAnsiTheme="majorBidi" w:cstheme="majorBidi"/>
          <w:bCs/>
        </w:rPr>
        <w:t xml:space="preserve"> </w:t>
      </w:r>
      <w:r w:rsidR="004550EA">
        <w:rPr>
          <w:rFonts w:asciiTheme="majorBidi" w:hAnsiTheme="majorBidi" w:cstheme="majorBidi"/>
          <w:bCs/>
        </w:rPr>
        <w:t xml:space="preserve">in </w:t>
      </w:r>
      <w:r w:rsidR="002D4E26" w:rsidRPr="00CA0F5F">
        <w:rPr>
          <w:rFonts w:asciiTheme="majorBidi" w:hAnsiTheme="majorBidi" w:cstheme="majorBidi"/>
          <w:bCs/>
        </w:rPr>
        <w:t>the auspices of the Network of</w:t>
      </w:r>
      <w:r w:rsidR="00BE3F69" w:rsidRPr="00CA0F5F">
        <w:rPr>
          <w:rFonts w:asciiTheme="majorBidi" w:hAnsiTheme="majorBidi" w:cstheme="majorBidi"/>
          <w:bCs/>
        </w:rPr>
        <w:t xml:space="preserve"> </w:t>
      </w:r>
      <w:r w:rsidR="00DC6768" w:rsidRPr="00CA0F5F">
        <w:rPr>
          <w:rFonts w:asciiTheme="majorBidi" w:hAnsiTheme="majorBidi" w:cstheme="majorBidi"/>
          <w:bCs/>
        </w:rPr>
        <w:t>Excellence</w:t>
      </w:r>
      <w:r w:rsidR="00BE3F69" w:rsidRPr="00CA0F5F">
        <w:rPr>
          <w:rFonts w:asciiTheme="majorBidi" w:hAnsiTheme="majorBidi" w:cstheme="majorBidi"/>
          <w:bCs/>
        </w:rPr>
        <w:t xml:space="preserve"> on Land</w:t>
      </w:r>
      <w:r w:rsidR="00DC6768" w:rsidRPr="00CA0F5F">
        <w:rPr>
          <w:rFonts w:asciiTheme="majorBidi" w:hAnsiTheme="majorBidi" w:cstheme="majorBidi"/>
          <w:bCs/>
        </w:rPr>
        <w:t xml:space="preserve"> </w:t>
      </w:r>
      <w:r w:rsidR="00BE3F69" w:rsidRPr="00CA0F5F">
        <w:rPr>
          <w:rFonts w:asciiTheme="majorBidi" w:hAnsiTheme="majorBidi" w:cstheme="majorBidi"/>
          <w:bCs/>
        </w:rPr>
        <w:t xml:space="preserve">Governance in Africa (NELGA) </w:t>
      </w:r>
      <w:r w:rsidR="004550EA">
        <w:rPr>
          <w:rFonts w:asciiTheme="majorBidi" w:hAnsiTheme="majorBidi" w:cstheme="majorBidi"/>
          <w:bCs/>
        </w:rPr>
        <w:t xml:space="preserve">by </w:t>
      </w:r>
      <w:r w:rsidR="00BE3F69" w:rsidRPr="00CA0F5F">
        <w:rPr>
          <w:rFonts w:asciiTheme="majorBidi" w:hAnsiTheme="majorBidi" w:cstheme="majorBidi"/>
          <w:bCs/>
        </w:rPr>
        <w:t xml:space="preserve">country level universities and training institutions. The </w:t>
      </w:r>
      <w:r w:rsidR="00C33EAF" w:rsidRPr="00CA0F5F">
        <w:rPr>
          <w:rFonts w:asciiTheme="majorBidi" w:hAnsiTheme="majorBidi" w:cstheme="majorBidi"/>
          <w:bCs/>
        </w:rPr>
        <w:t xml:space="preserve">stakeholders </w:t>
      </w:r>
      <w:r w:rsidR="004550EA">
        <w:rPr>
          <w:rFonts w:asciiTheme="majorBidi" w:hAnsiTheme="majorBidi" w:cstheme="majorBidi"/>
          <w:bCs/>
        </w:rPr>
        <w:t>to be trained are</w:t>
      </w:r>
      <w:r w:rsidR="002768E3" w:rsidRPr="00CA0F5F">
        <w:rPr>
          <w:rFonts w:asciiTheme="majorBidi" w:hAnsiTheme="majorBidi" w:cstheme="majorBidi"/>
          <w:bCs/>
        </w:rPr>
        <w:t>:</w:t>
      </w:r>
      <w:r w:rsidR="005309CB" w:rsidRPr="00CA0F5F">
        <w:rPr>
          <w:rFonts w:asciiTheme="majorBidi" w:hAnsiTheme="majorBidi" w:cstheme="majorBidi"/>
          <w:bCs/>
        </w:rPr>
        <w:t xml:space="preserve"> senior government officials, </w:t>
      </w:r>
      <w:r w:rsidR="00890163" w:rsidRPr="00CA0F5F">
        <w:rPr>
          <w:rFonts w:asciiTheme="majorBidi" w:hAnsiTheme="majorBidi" w:cstheme="majorBidi"/>
          <w:bCs/>
        </w:rPr>
        <w:t xml:space="preserve">parliamentarians, researchers, academicians, private sector, </w:t>
      </w:r>
      <w:r w:rsidR="005309CB" w:rsidRPr="00CA0F5F">
        <w:rPr>
          <w:rFonts w:asciiTheme="majorBidi" w:hAnsiTheme="majorBidi" w:cstheme="majorBidi"/>
          <w:bCs/>
        </w:rPr>
        <w:t xml:space="preserve">CSOs, </w:t>
      </w:r>
      <w:r w:rsidR="00890163" w:rsidRPr="00CA0F5F">
        <w:rPr>
          <w:rFonts w:asciiTheme="majorBidi" w:hAnsiTheme="majorBidi" w:cstheme="majorBidi"/>
          <w:bCs/>
        </w:rPr>
        <w:t>women’s organisations, farmer organis</w:t>
      </w:r>
      <w:r w:rsidR="005309CB" w:rsidRPr="00CA0F5F">
        <w:rPr>
          <w:rFonts w:asciiTheme="majorBidi" w:hAnsiTheme="majorBidi" w:cstheme="majorBidi"/>
          <w:bCs/>
        </w:rPr>
        <w:t>ations, land administrators, legal practi</w:t>
      </w:r>
      <w:r w:rsidR="00B43DEF" w:rsidRPr="00CA0F5F">
        <w:rPr>
          <w:rFonts w:asciiTheme="majorBidi" w:hAnsiTheme="majorBidi" w:cstheme="majorBidi"/>
          <w:bCs/>
        </w:rPr>
        <w:t>tio</w:t>
      </w:r>
      <w:r w:rsidR="005309CB" w:rsidRPr="00CA0F5F">
        <w:rPr>
          <w:rFonts w:asciiTheme="majorBidi" w:hAnsiTheme="majorBidi" w:cstheme="majorBidi"/>
          <w:bCs/>
        </w:rPr>
        <w:t xml:space="preserve">ners, policy/decision makers, traditional leaders, local leaders, investors, professional associations, and media practitioners. The training </w:t>
      </w:r>
      <w:r w:rsidR="004550EA">
        <w:rPr>
          <w:rFonts w:asciiTheme="majorBidi" w:hAnsiTheme="majorBidi" w:cstheme="majorBidi"/>
          <w:bCs/>
        </w:rPr>
        <w:t xml:space="preserve">areas </w:t>
      </w:r>
      <w:r w:rsidR="00314F26">
        <w:rPr>
          <w:rFonts w:asciiTheme="majorBidi" w:hAnsiTheme="majorBidi" w:cstheme="majorBidi"/>
          <w:bCs/>
        </w:rPr>
        <w:t>include</w:t>
      </w:r>
      <w:r w:rsidR="005309CB" w:rsidRPr="00CA0F5F">
        <w:rPr>
          <w:rFonts w:asciiTheme="majorBidi" w:hAnsiTheme="majorBidi" w:cstheme="majorBidi"/>
          <w:bCs/>
        </w:rPr>
        <w:t>:</w:t>
      </w:r>
      <w:r w:rsidR="004550EA">
        <w:rPr>
          <w:rFonts w:asciiTheme="majorBidi" w:hAnsiTheme="majorBidi" w:cstheme="majorBidi"/>
          <w:bCs/>
        </w:rPr>
        <w:t xml:space="preserve"> </w:t>
      </w:r>
      <w:r w:rsidR="00982E07" w:rsidRPr="00CA0F5F">
        <w:rPr>
          <w:rFonts w:asciiTheme="majorBidi" w:hAnsiTheme="majorBidi" w:cstheme="majorBidi"/>
          <w:bCs/>
          <w:lang w:val="en-GB"/>
        </w:rPr>
        <w:t>Mainstreaming land governance in development</w:t>
      </w:r>
      <w:r w:rsidR="0086637C" w:rsidRPr="00CA0F5F">
        <w:rPr>
          <w:rFonts w:asciiTheme="majorBidi" w:hAnsiTheme="majorBidi" w:cstheme="majorBidi"/>
          <w:bCs/>
          <w:lang w:val="en-GB"/>
        </w:rPr>
        <w:t>,</w:t>
      </w:r>
      <w:r w:rsidR="00982E07" w:rsidRPr="00CA0F5F">
        <w:rPr>
          <w:rFonts w:asciiTheme="majorBidi" w:hAnsiTheme="majorBidi" w:cstheme="majorBidi"/>
          <w:bCs/>
          <w:lang w:val="en-GB"/>
        </w:rPr>
        <w:t xml:space="preserve"> </w:t>
      </w:r>
      <w:r w:rsidR="00C214A1" w:rsidRPr="00CA0F5F">
        <w:rPr>
          <w:rFonts w:asciiTheme="majorBidi" w:hAnsiTheme="majorBidi" w:cstheme="majorBidi"/>
          <w:bCs/>
          <w:lang w:val="en-GB"/>
        </w:rPr>
        <w:t>l</w:t>
      </w:r>
      <w:r w:rsidR="00982E07" w:rsidRPr="00CA0F5F">
        <w:rPr>
          <w:rFonts w:asciiTheme="majorBidi" w:hAnsiTheme="majorBidi" w:cstheme="majorBidi"/>
          <w:bCs/>
          <w:lang w:val="en-GB"/>
        </w:rPr>
        <w:t>arge scale</w:t>
      </w:r>
      <w:r w:rsidR="004550EA">
        <w:rPr>
          <w:rFonts w:asciiTheme="majorBidi" w:hAnsiTheme="majorBidi" w:cstheme="majorBidi"/>
          <w:bCs/>
          <w:lang w:val="en-GB"/>
        </w:rPr>
        <w:t xml:space="preserve"> land based investments (LSLBI),</w:t>
      </w:r>
      <w:r w:rsidR="00982E07" w:rsidRPr="00CA0F5F">
        <w:rPr>
          <w:rFonts w:asciiTheme="majorBidi" w:hAnsiTheme="majorBidi" w:cstheme="majorBidi"/>
          <w:bCs/>
          <w:lang w:val="en-GB"/>
        </w:rPr>
        <w:t xml:space="preserve"> </w:t>
      </w:r>
      <w:r w:rsidR="00C214A1" w:rsidRPr="00CA0F5F">
        <w:rPr>
          <w:rFonts w:asciiTheme="majorBidi" w:hAnsiTheme="majorBidi" w:cstheme="majorBidi"/>
          <w:bCs/>
          <w:lang w:val="en-GB"/>
        </w:rPr>
        <w:t>e</w:t>
      </w:r>
      <w:r w:rsidR="004550EA">
        <w:rPr>
          <w:rFonts w:asciiTheme="majorBidi" w:hAnsiTheme="majorBidi" w:cstheme="majorBidi"/>
          <w:bCs/>
          <w:lang w:val="en-GB"/>
        </w:rPr>
        <w:t>quity of access to land,</w:t>
      </w:r>
      <w:r w:rsidR="00982E07" w:rsidRPr="00CA0F5F">
        <w:rPr>
          <w:rFonts w:asciiTheme="majorBidi" w:hAnsiTheme="majorBidi" w:cstheme="majorBidi"/>
          <w:bCs/>
          <w:lang w:val="en-GB"/>
        </w:rPr>
        <w:t xml:space="preserve"> women’s land rights; </w:t>
      </w:r>
      <w:r w:rsidR="00C214A1" w:rsidRPr="00CA0F5F">
        <w:rPr>
          <w:rFonts w:asciiTheme="majorBidi" w:hAnsiTheme="majorBidi" w:cstheme="majorBidi"/>
          <w:bCs/>
          <w:lang w:val="en-GB"/>
        </w:rPr>
        <w:t>l</w:t>
      </w:r>
      <w:r w:rsidR="00982E07" w:rsidRPr="00CA0F5F">
        <w:rPr>
          <w:rFonts w:asciiTheme="majorBidi" w:hAnsiTheme="majorBidi" w:cstheme="majorBidi"/>
          <w:bCs/>
          <w:lang w:val="en-GB"/>
        </w:rPr>
        <w:t xml:space="preserve">and conflict management </w:t>
      </w:r>
      <w:r w:rsidR="00314F26">
        <w:rPr>
          <w:rFonts w:asciiTheme="majorBidi" w:hAnsiTheme="majorBidi" w:cstheme="majorBidi"/>
          <w:bCs/>
          <w:lang w:val="en-GB"/>
        </w:rPr>
        <w:t>/d</w:t>
      </w:r>
      <w:r w:rsidR="00982E07" w:rsidRPr="00CA0F5F">
        <w:rPr>
          <w:rFonts w:asciiTheme="majorBidi" w:hAnsiTheme="majorBidi" w:cstheme="majorBidi"/>
          <w:bCs/>
          <w:lang w:val="en-GB"/>
        </w:rPr>
        <w:t xml:space="preserve">ispute resolution; </w:t>
      </w:r>
      <w:r w:rsidR="00C214A1" w:rsidRPr="00CA0F5F">
        <w:rPr>
          <w:rFonts w:asciiTheme="majorBidi" w:hAnsiTheme="majorBidi" w:cstheme="majorBidi"/>
          <w:bCs/>
          <w:lang w:val="en-GB"/>
        </w:rPr>
        <w:t>l</w:t>
      </w:r>
      <w:r w:rsidR="00982E07" w:rsidRPr="00CA0F5F">
        <w:rPr>
          <w:rFonts w:asciiTheme="majorBidi" w:hAnsiTheme="majorBidi" w:cstheme="majorBidi"/>
          <w:bCs/>
          <w:lang w:val="en-GB"/>
        </w:rPr>
        <w:t xml:space="preserve">and conflict management and dispute resolution; </w:t>
      </w:r>
      <w:r w:rsidR="00C214A1" w:rsidRPr="00CA0F5F">
        <w:rPr>
          <w:rFonts w:asciiTheme="majorBidi" w:hAnsiTheme="majorBidi" w:cstheme="majorBidi"/>
          <w:bCs/>
          <w:lang w:val="en-GB"/>
        </w:rPr>
        <w:t>t</w:t>
      </w:r>
      <w:r w:rsidR="00982E07" w:rsidRPr="00CA0F5F">
        <w:rPr>
          <w:rFonts w:asciiTheme="majorBidi" w:hAnsiTheme="majorBidi" w:cstheme="majorBidi"/>
          <w:bCs/>
          <w:lang w:val="en-GB"/>
        </w:rPr>
        <w:t xml:space="preserve">enure security and documenting land rights; </w:t>
      </w:r>
      <w:r w:rsidR="00C214A1" w:rsidRPr="00CA0F5F">
        <w:rPr>
          <w:rFonts w:asciiTheme="majorBidi" w:hAnsiTheme="majorBidi" w:cstheme="majorBidi"/>
          <w:bCs/>
          <w:lang w:val="en-GB"/>
        </w:rPr>
        <w:t>m</w:t>
      </w:r>
      <w:r w:rsidR="00982E07" w:rsidRPr="00CA0F5F">
        <w:rPr>
          <w:rFonts w:asciiTheme="majorBidi" w:hAnsiTheme="majorBidi" w:cstheme="majorBidi"/>
          <w:bCs/>
          <w:lang w:val="en-GB"/>
        </w:rPr>
        <w:t xml:space="preserve">onitoring and </w:t>
      </w:r>
      <w:r w:rsidR="00C214A1" w:rsidRPr="00CA0F5F">
        <w:rPr>
          <w:rFonts w:asciiTheme="majorBidi" w:hAnsiTheme="majorBidi" w:cstheme="majorBidi"/>
          <w:bCs/>
          <w:lang w:val="en-GB"/>
        </w:rPr>
        <w:t>e</w:t>
      </w:r>
      <w:r w:rsidR="00982E07" w:rsidRPr="00CA0F5F">
        <w:rPr>
          <w:rFonts w:asciiTheme="majorBidi" w:hAnsiTheme="majorBidi" w:cstheme="majorBidi"/>
          <w:bCs/>
          <w:lang w:val="en-GB"/>
        </w:rPr>
        <w:t xml:space="preserve">valuation; and </w:t>
      </w:r>
      <w:r w:rsidR="00C214A1" w:rsidRPr="00CA0F5F">
        <w:rPr>
          <w:rFonts w:asciiTheme="majorBidi" w:hAnsiTheme="majorBidi" w:cstheme="majorBidi"/>
          <w:bCs/>
          <w:lang w:val="en-GB"/>
        </w:rPr>
        <w:t>r</w:t>
      </w:r>
      <w:r w:rsidR="00982E07" w:rsidRPr="00CA0F5F">
        <w:rPr>
          <w:rFonts w:asciiTheme="majorBidi" w:hAnsiTheme="majorBidi" w:cstheme="majorBidi"/>
          <w:bCs/>
          <w:lang w:val="en-GB"/>
        </w:rPr>
        <w:t xml:space="preserve">esearch and collation of best </w:t>
      </w:r>
      <w:r w:rsidR="0013305A" w:rsidRPr="00CA0F5F">
        <w:rPr>
          <w:rFonts w:asciiTheme="majorBidi" w:hAnsiTheme="majorBidi" w:cstheme="majorBidi"/>
          <w:bCs/>
          <w:lang w:val="en-GB"/>
        </w:rPr>
        <w:t xml:space="preserve">practices </w:t>
      </w:r>
      <w:r w:rsidR="00982E07" w:rsidRPr="00CA0F5F">
        <w:rPr>
          <w:rFonts w:asciiTheme="majorBidi" w:hAnsiTheme="majorBidi" w:cstheme="majorBidi"/>
          <w:bCs/>
          <w:lang w:val="en-GB"/>
        </w:rPr>
        <w:t>on land governance</w:t>
      </w:r>
      <w:r w:rsidR="00314F26">
        <w:rPr>
          <w:rFonts w:asciiTheme="majorBidi" w:hAnsiTheme="majorBidi" w:cstheme="majorBidi"/>
          <w:bCs/>
          <w:lang w:val="en-GB"/>
        </w:rPr>
        <w:t>.</w:t>
      </w:r>
    </w:p>
    <w:p w:rsidR="00AC7B6E" w:rsidRPr="005B5F10" w:rsidRDefault="00AC7B6E" w:rsidP="005B5F10">
      <w:pPr>
        <w:pStyle w:val="ListParagraph"/>
        <w:numPr>
          <w:ilvl w:val="0"/>
          <w:numId w:val="20"/>
        </w:numPr>
        <w:ind w:left="0"/>
        <w:jc w:val="both"/>
        <w:rPr>
          <w:rFonts w:asciiTheme="majorBidi" w:hAnsiTheme="majorBidi" w:cstheme="majorBidi"/>
          <w:bCs/>
        </w:rPr>
      </w:pPr>
      <w:r w:rsidRPr="005B5F10">
        <w:rPr>
          <w:rFonts w:asciiTheme="majorBidi" w:hAnsiTheme="majorBidi" w:cstheme="majorBidi"/>
          <w:bCs/>
        </w:rPr>
        <w:lastRenderedPageBreak/>
        <w:t xml:space="preserve">To enhance tracking, results frameworks </w:t>
      </w:r>
      <w:r w:rsidR="00BD3BDC" w:rsidRPr="005B5F10">
        <w:rPr>
          <w:rFonts w:asciiTheme="majorBidi" w:hAnsiTheme="majorBidi" w:cstheme="majorBidi"/>
          <w:bCs/>
        </w:rPr>
        <w:t xml:space="preserve">the </w:t>
      </w:r>
      <w:r w:rsidR="00BD3BDC">
        <w:rPr>
          <w:rFonts w:asciiTheme="majorBidi" w:hAnsiTheme="majorBidi" w:cstheme="majorBidi"/>
          <w:bCs/>
        </w:rPr>
        <w:t xml:space="preserve">for the </w:t>
      </w:r>
      <w:r w:rsidR="00BD3BDC" w:rsidRPr="005B5F10">
        <w:rPr>
          <w:rFonts w:asciiTheme="majorBidi" w:hAnsiTheme="majorBidi" w:cstheme="majorBidi"/>
          <w:bCs/>
        </w:rPr>
        <w:t>agricultural and land sector</w:t>
      </w:r>
      <w:r w:rsidR="00BD3BDC">
        <w:rPr>
          <w:rFonts w:asciiTheme="majorBidi" w:hAnsiTheme="majorBidi" w:cstheme="majorBidi"/>
          <w:bCs/>
        </w:rPr>
        <w:t>s</w:t>
      </w:r>
      <w:r w:rsidR="00BD3BDC" w:rsidRPr="005B5F10">
        <w:rPr>
          <w:rFonts w:asciiTheme="majorBidi" w:hAnsiTheme="majorBidi" w:cstheme="majorBidi"/>
          <w:bCs/>
        </w:rPr>
        <w:t xml:space="preserve"> </w:t>
      </w:r>
      <w:r w:rsidRPr="005B5F10">
        <w:rPr>
          <w:rFonts w:asciiTheme="majorBidi" w:hAnsiTheme="majorBidi" w:cstheme="majorBidi"/>
          <w:bCs/>
        </w:rPr>
        <w:t xml:space="preserve">have been examined and recommendations made to integrate land governance </w:t>
      </w:r>
      <w:r w:rsidR="00BD3BDC">
        <w:rPr>
          <w:rFonts w:asciiTheme="majorBidi" w:hAnsiTheme="majorBidi" w:cstheme="majorBidi"/>
          <w:bCs/>
        </w:rPr>
        <w:t xml:space="preserve">results areas and </w:t>
      </w:r>
      <w:r w:rsidR="007C7BC9" w:rsidRPr="005B5F10">
        <w:rPr>
          <w:rFonts w:asciiTheme="majorBidi" w:hAnsiTheme="majorBidi" w:cstheme="majorBidi"/>
          <w:bCs/>
        </w:rPr>
        <w:t>indicators (e.g. land tenure security; equal access to land for women and youth) that are critical to transforming agriculture.</w:t>
      </w:r>
      <w:r w:rsidR="00DB4246" w:rsidRPr="005B5F10">
        <w:rPr>
          <w:rFonts w:asciiTheme="majorBidi" w:hAnsiTheme="majorBidi" w:cstheme="majorBidi"/>
          <w:bCs/>
        </w:rPr>
        <w:t xml:space="preserve"> The six countries are also piloting the monitoring and evaluation of land governance in Africa (MELA</w:t>
      </w:r>
      <w:r w:rsidR="00BD3BDC">
        <w:rPr>
          <w:rFonts w:asciiTheme="majorBidi" w:hAnsiTheme="majorBidi" w:cstheme="majorBidi"/>
          <w:bCs/>
        </w:rPr>
        <w:t xml:space="preserve">) </w:t>
      </w:r>
      <w:r w:rsidR="00DB4246" w:rsidRPr="005B5F10">
        <w:rPr>
          <w:rFonts w:asciiTheme="majorBidi" w:hAnsiTheme="majorBidi" w:cstheme="majorBidi"/>
          <w:bCs/>
        </w:rPr>
        <w:t xml:space="preserve">to build baseline and other data; track progress in implementation of the AU Declaration on </w:t>
      </w:r>
      <w:r w:rsidR="00525064">
        <w:rPr>
          <w:rFonts w:asciiTheme="majorBidi" w:hAnsiTheme="majorBidi" w:cstheme="majorBidi"/>
          <w:bCs/>
        </w:rPr>
        <w:t>L</w:t>
      </w:r>
      <w:r w:rsidR="00DB4246" w:rsidRPr="005B5F10">
        <w:rPr>
          <w:rFonts w:asciiTheme="majorBidi" w:hAnsiTheme="majorBidi" w:cstheme="majorBidi"/>
          <w:bCs/>
        </w:rPr>
        <w:t xml:space="preserve">and, and </w:t>
      </w:r>
      <w:r w:rsidR="00525064">
        <w:rPr>
          <w:rFonts w:asciiTheme="majorBidi" w:hAnsiTheme="majorBidi" w:cstheme="majorBidi"/>
          <w:bCs/>
        </w:rPr>
        <w:t>develop</w:t>
      </w:r>
      <w:r w:rsidR="00525064" w:rsidRPr="005B5F10">
        <w:rPr>
          <w:rFonts w:asciiTheme="majorBidi" w:hAnsiTheme="majorBidi" w:cstheme="majorBidi"/>
          <w:bCs/>
        </w:rPr>
        <w:t xml:space="preserve"> </w:t>
      </w:r>
      <w:r w:rsidR="00DB4246" w:rsidRPr="005B5F10">
        <w:rPr>
          <w:rFonts w:asciiTheme="majorBidi" w:hAnsiTheme="majorBidi" w:cstheme="majorBidi"/>
          <w:bCs/>
        </w:rPr>
        <w:t xml:space="preserve">capacity </w:t>
      </w:r>
      <w:r w:rsidR="00BD3BDC">
        <w:rPr>
          <w:rFonts w:asciiTheme="majorBidi" w:hAnsiTheme="majorBidi" w:cstheme="majorBidi"/>
          <w:bCs/>
        </w:rPr>
        <w:t>for</w:t>
      </w:r>
      <w:r w:rsidR="00DB4246" w:rsidRPr="005B5F10">
        <w:rPr>
          <w:rFonts w:asciiTheme="majorBidi" w:hAnsiTheme="majorBidi" w:cstheme="majorBidi"/>
          <w:bCs/>
        </w:rPr>
        <w:t xml:space="preserve"> tracking progress. </w:t>
      </w:r>
    </w:p>
    <w:p w:rsidR="0075464D" w:rsidRPr="006960FD" w:rsidRDefault="0075464D" w:rsidP="00976670">
      <w:pPr>
        <w:jc w:val="both"/>
        <w:rPr>
          <w:rFonts w:asciiTheme="majorBidi" w:hAnsiTheme="majorBidi" w:cstheme="majorBidi"/>
          <w:bCs/>
        </w:rPr>
      </w:pPr>
    </w:p>
    <w:p w:rsidR="00AB268F" w:rsidRPr="006960FD" w:rsidRDefault="0075464D" w:rsidP="006960FD">
      <w:pPr>
        <w:pStyle w:val="ListParagraph"/>
        <w:numPr>
          <w:ilvl w:val="0"/>
          <w:numId w:val="20"/>
        </w:numPr>
        <w:ind w:left="0"/>
        <w:jc w:val="both"/>
        <w:rPr>
          <w:rFonts w:asciiTheme="majorBidi" w:hAnsiTheme="majorBidi" w:cstheme="majorBidi"/>
          <w:b/>
          <w:bCs/>
        </w:rPr>
      </w:pPr>
      <w:r w:rsidRPr="006960FD">
        <w:rPr>
          <w:rFonts w:asciiTheme="majorBidi" w:hAnsiTheme="majorBidi" w:cstheme="majorBidi"/>
          <w:bCs/>
        </w:rPr>
        <w:t xml:space="preserve">The </w:t>
      </w:r>
      <w:r w:rsidR="003B29B0">
        <w:rPr>
          <w:rFonts w:asciiTheme="majorBidi" w:hAnsiTheme="majorBidi" w:cstheme="majorBidi"/>
          <w:bCs/>
        </w:rPr>
        <w:t xml:space="preserve">key </w:t>
      </w:r>
      <w:r w:rsidRPr="006960FD">
        <w:rPr>
          <w:rFonts w:asciiTheme="majorBidi" w:hAnsiTheme="majorBidi" w:cstheme="majorBidi"/>
          <w:bCs/>
        </w:rPr>
        <w:t xml:space="preserve">lessons </w:t>
      </w:r>
      <w:r w:rsidR="00DD720F" w:rsidRPr="006960FD">
        <w:rPr>
          <w:rFonts w:asciiTheme="majorBidi" w:hAnsiTheme="majorBidi" w:cstheme="majorBidi"/>
          <w:bCs/>
        </w:rPr>
        <w:t>and recommendations</w:t>
      </w:r>
      <w:r w:rsidR="0086637C">
        <w:rPr>
          <w:rFonts w:asciiTheme="majorBidi" w:hAnsiTheme="majorBidi" w:cstheme="majorBidi"/>
          <w:bCs/>
        </w:rPr>
        <w:t xml:space="preserve">, </w:t>
      </w:r>
      <w:r w:rsidR="00DD720F" w:rsidRPr="006960FD">
        <w:rPr>
          <w:rFonts w:asciiTheme="majorBidi" w:hAnsiTheme="majorBidi" w:cstheme="majorBidi"/>
          <w:bCs/>
        </w:rPr>
        <w:t xml:space="preserve">based on the results of the pilot project to mainstream land in the agricultural sector </w:t>
      </w:r>
      <w:r w:rsidRPr="006960FD">
        <w:rPr>
          <w:rFonts w:asciiTheme="majorBidi" w:hAnsiTheme="majorBidi" w:cstheme="majorBidi"/>
          <w:bCs/>
        </w:rPr>
        <w:t xml:space="preserve">include: </w:t>
      </w:r>
      <w:r w:rsidR="00DD720F" w:rsidRPr="006960FD">
        <w:rPr>
          <w:rFonts w:asciiTheme="majorBidi" w:hAnsiTheme="majorBidi" w:cstheme="majorBidi"/>
          <w:bCs/>
        </w:rPr>
        <w:t xml:space="preserve">i) </w:t>
      </w:r>
      <w:r w:rsidR="00525064">
        <w:rPr>
          <w:rFonts w:asciiTheme="majorBidi" w:hAnsiTheme="majorBidi" w:cstheme="majorBidi"/>
          <w:bCs/>
        </w:rPr>
        <w:t xml:space="preserve">the </w:t>
      </w:r>
      <w:r w:rsidR="00DD720F" w:rsidRPr="006960FD">
        <w:rPr>
          <w:rFonts w:asciiTheme="majorBidi" w:hAnsiTheme="majorBidi" w:cstheme="majorBidi"/>
          <w:bCs/>
        </w:rPr>
        <w:t>need for sustained capacity at national level to conduct research and training on issues that hamper agriculture</w:t>
      </w:r>
      <w:r w:rsidR="003B29B0">
        <w:rPr>
          <w:rFonts w:asciiTheme="majorBidi" w:hAnsiTheme="majorBidi" w:cstheme="majorBidi"/>
          <w:bCs/>
        </w:rPr>
        <w:t>,</w:t>
      </w:r>
      <w:r w:rsidR="00DD720F" w:rsidRPr="006960FD">
        <w:rPr>
          <w:rFonts w:asciiTheme="majorBidi" w:hAnsiTheme="majorBidi" w:cstheme="majorBidi"/>
          <w:bCs/>
        </w:rPr>
        <w:t xml:space="preserve"> and draw promising practices; ii) the land-agriculture task force/committee needs to be institutionalized to ensure sustainability; iv) the business plans that have been developed outlining key actions and associated budgets need to be incorporated in the NAIPs to </w:t>
      </w:r>
      <w:r w:rsidR="003B29B0">
        <w:rPr>
          <w:rFonts w:asciiTheme="majorBidi" w:hAnsiTheme="majorBidi" w:cstheme="majorBidi"/>
          <w:bCs/>
        </w:rPr>
        <w:t>secure</w:t>
      </w:r>
      <w:r w:rsidR="00DD720F" w:rsidRPr="006960FD">
        <w:rPr>
          <w:rFonts w:asciiTheme="majorBidi" w:hAnsiTheme="majorBidi" w:cstheme="majorBidi"/>
          <w:bCs/>
        </w:rPr>
        <w:t xml:space="preserve"> funding to address land governance issues; and iv) land related indicators need to be part of the results area for CAADP/Malabo Declaration implementation.</w:t>
      </w:r>
      <w:r w:rsidR="00AB268F" w:rsidRPr="006960FD">
        <w:rPr>
          <w:rFonts w:asciiTheme="majorBidi" w:hAnsiTheme="majorBidi" w:cstheme="majorBidi"/>
          <w:b/>
          <w:bCs/>
        </w:rPr>
        <w:t xml:space="preserve"> </w:t>
      </w:r>
    </w:p>
    <w:p w:rsidR="00AB268F" w:rsidRDefault="00AB268F" w:rsidP="00976670">
      <w:pPr>
        <w:jc w:val="both"/>
        <w:rPr>
          <w:rFonts w:asciiTheme="majorBidi" w:hAnsiTheme="majorBidi" w:cstheme="majorBidi"/>
          <w:b/>
          <w:bCs/>
        </w:rPr>
      </w:pPr>
    </w:p>
    <w:p w:rsidR="00E65F9B" w:rsidRPr="00AC57D8" w:rsidRDefault="00DC2465" w:rsidP="001B6E02">
      <w:pPr>
        <w:pStyle w:val="ListParagraph"/>
        <w:numPr>
          <w:ilvl w:val="0"/>
          <w:numId w:val="20"/>
        </w:numPr>
        <w:ind w:left="0" w:hanging="450"/>
        <w:jc w:val="both"/>
        <w:rPr>
          <w:rFonts w:asciiTheme="majorBidi" w:hAnsiTheme="majorBidi" w:cstheme="majorBidi"/>
          <w:b/>
          <w:bCs/>
        </w:rPr>
      </w:pPr>
      <w:r w:rsidRPr="00AC57D8">
        <w:rPr>
          <w:rFonts w:asciiTheme="majorBidi" w:hAnsiTheme="majorBidi" w:cstheme="majorBidi"/>
          <w:b/>
          <w:bCs/>
        </w:rPr>
        <w:t>Transversal support to promote</w:t>
      </w:r>
      <w:r w:rsidR="00E65F9B" w:rsidRPr="00AC57D8">
        <w:rPr>
          <w:rFonts w:asciiTheme="majorBidi" w:hAnsiTheme="majorBidi" w:cstheme="majorBidi"/>
          <w:b/>
          <w:bCs/>
        </w:rPr>
        <w:t xml:space="preserve"> joint application of the </w:t>
      </w:r>
      <w:r w:rsidRPr="00AC57D8">
        <w:rPr>
          <w:rFonts w:asciiTheme="majorBidi" w:hAnsiTheme="majorBidi" w:cstheme="majorBidi"/>
          <w:b/>
          <w:bCs/>
        </w:rPr>
        <w:t>F&amp;G and VGGT</w:t>
      </w:r>
    </w:p>
    <w:p w:rsidR="00B8735A" w:rsidRDefault="00740EF9" w:rsidP="00976670">
      <w:pPr>
        <w:jc w:val="both"/>
        <w:rPr>
          <w:rFonts w:asciiTheme="majorBidi" w:hAnsiTheme="majorBidi" w:cstheme="majorBidi"/>
          <w:bCs/>
        </w:rPr>
      </w:pPr>
      <w:r>
        <w:rPr>
          <w:rFonts w:asciiTheme="majorBidi" w:hAnsiTheme="majorBidi" w:cstheme="majorBidi"/>
          <w:bCs/>
        </w:rPr>
        <w:t xml:space="preserve">The LPI and FAO </w:t>
      </w:r>
      <w:r w:rsidR="006C35F2">
        <w:rPr>
          <w:rFonts w:asciiTheme="majorBidi" w:hAnsiTheme="majorBidi" w:cstheme="majorBidi"/>
          <w:bCs/>
        </w:rPr>
        <w:t>continued implementation of</w:t>
      </w:r>
      <w:r>
        <w:rPr>
          <w:rFonts w:asciiTheme="majorBidi" w:hAnsiTheme="majorBidi" w:cstheme="majorBidi"/>
          <w:bCs/>
        </w:rPr>
        <w:t xml:space="preserve"> the</w:t>
      </w:r>
      <w:r w:rsidR="006C35F2">
        <w:rPr>
          <w:rFonts w:asciiTheme="majorBidi" w:hAnsiTheme="majorBidi" w:cstheme="majorBidi"/>
          <w:bCs/>
        </w:rPr>
        <w:t xml:space="preserve"> </w:t>
      </w:r>
      <w:r>
        <w:rPr>
          <w:rFonts w:asciiTheme="majorBidi" w:hAnsiTheme="majorBidi" w:cstheme="majorBidi"/>
          <w:bCs/>
        </w:rPr>
        <w:t>2014 MOU to</w:t>
      </w:r>
      <w:r w:rsidR="006C35F2">
        <w:rPr>
          <w:rFonts w:asciiTheme="majorBidi" w:hAnsiTheme="majorBidi" w:cstheme="majorBidi"/>
          <w:bCs/>
        </w:rPr>
        <w:t xml:space="preserve"> support implementation of the AU Declaration on Land Issues and Challenges by promoting joint application of the </w:t>
      </w:r>
      <w:r w:rsidR="00525064">
        <w:rPr>
          <w:rFonts w:asciiTheme="majorBidi" w:hAnsiTheme="majorBidi" w:cstheme="majorBidi"/>
          <w:bCs/>
        </w:rPr>
        <w:t>V</w:t>
      </w:r>
      <w:r w:rsidR="006C35F2">
        <w:rPr>
          <w:rFonts w:asciiTheme="majorBidi" w:hAnsiTheme="majorBidi" w:cstheme="majorBidi"/>
          <w:bCs/>
        </w:rPr>
        <w:t xml:space="preserve">oluntary Guidelines of the Governance of the Tenure of Land, Fisheries and Forests (VGGT) at country level. In particular, capitalization meetings were held twice </w:t>
      </w:r>
      <w:r w:rsidR="00EA1116">
        <w:rPr>
          <w:rFonts w:asciiTheme="majorBidi" w:hAnsiTheme="majorBidi" w:cstheme="majorBidi"/>
          <w:bCs/>
        </w:rPr>
        <w:t xml:space="preserve">a </w:t>
      </w:r>
      <w:r w:rsidR="006C35F2">
        <w:rPr>
          <w:rFonts w:asciiTheme="majorBidi" w:hAnsiTheme="majorBidi" w:cstheme="majorBidi"/>
          <w:bCs/>
        </w:rPr>
        <w:t xml:space="preserve">year, bringing together countries that are implementing projects funded by the European Union in a platform to exchange knowledge and identify best practices. </w:t>
      </w:r>
      <w:r w:rsidR="00247FE4">
        <w:rPr>
          <w:rFonts w:asciiTheme="majorBidi" w:hAnsiTheme="majorBidi" w:cstheme="majorBidi"/>
          <w:bCs/>
        </w:rPr>
        <w:t>Five additional countries (</w:t>
      </w:r>
      <w:r w:rsidR="006C35F2">
        <w:t>Cameroon, Ghana, Guinea Bissau, Sudan Uganda</w:t>
      </w:r>
      <w:r w:rsidR="00247FE4">
        <w:t>) were added to phase I countries (</w:t>
      </w:r>
      <w:r w:rsidR="006C35F2" w:rsidRPr="003F3A6C">
        <w:rPr>
          <w:lang w:eastAsia="en-GB"/>
        </w:rPr>
        <w:t>Angola, Burundi, Côte d’Ivoire, Ethiopia, Kenya, Malawi, Niger, Somalia, South Sudan and Swaziland and Zambia</w:t>
      </w:r>
      <w:r w:rsidR="00247FE4">
        <w:rPr>
          <w:lang w:eastAsia="en-GB"/>
        </w:rPr>
        <w:t>).</w:t>
      </w:r>
    </w:p>
    <w:p w:rsidR="006C35F2" w:rsidRDefault="006C35F2" w:rsidP="00976670">
      <w:pPr>
        <w:jc w:val="both"/>
      </w:pPr>
    </w:p>
    <w:p w:rsidR="00740EF9" w:rsidRDefault="00740EF9" w:rsidP="00976670">
      <w:pPr>
        <w:jc w:val="both"/>
        <w:rPr>
          <w:rFonts w:asciiTheme="majorBidi" w:hAnsiTheme="majorBidi" w:cstheme="majorBidi"/>
          <w:bCs/>
        </w:rPr>
      </w:pPr>
    </w:p>
    <w:p w:rsidR="00741C33" w:rsidRPr="00813279" w:rsidRDefault="00741C33" w:rsidP="00976670">
      <w:pPr>
        <w:jc w:val="both"/>
        <w:rPr>
          <w:rFonts w:asciiTheme="majorBidi" w:hAnsiTheme="majorBidi" w:cstheme="majorBidi"/>
          <w:b/>
          <w:bCs/>
          <w:color w:val="000000" w:themeColor="text1"/>
        </w:rPr>
      </w:pPr>
      <w:r w:rsidRPr="00813279">
        <w:rPr>
          <w:rFonts w:asciiTheme="majorBidi" w:hAnsiTheme="majorBidi" w:cstheme="majorBidi"/>
          <w:b/>
          <w:bCs/>
          <w:color w:val="000000" w:themeColor="text1"/>
        </w:rPr>
        <w:t xml:space="preserve">BUILDING </w:t>
      </w:r>
      <w:r w:rsidR="00485C21" w:rsidRPr="00813279">
        <w:rPr>
          <w:rFonts w:asciiTheme="majorBidi" w:hAnsiTheme="majorBidi" w:cstheme="majorBidi"/>
          <w:b/>
          <w:bCs/>
          <w:color w:val="000000" w:themeColor="text1"/>
        </w:rPr>
        <w:t xml:space="preserve">HUMAN AND TECHNICAL CAPACITIES </w:t>
      </w:r>
      <w:r w:rsidR="00C024DE" w:rsidRPr="00813279">
        <w:rPr>
          <w:rFonts w:asciiTheme="majorBidi" w:hAnsiTheme="majorBidi" w:cstheme="majorBidi"/>
          <w:b/>
          <w:bCs/>
          <w:color w:val="000000" w:themeColor="text1"/>
        </w:rPr>
        <w:t>FOR LAND GOVERNANCE</w:t>
      </w:r>
    </w:p>
    <w:p w:rsidR="00741C33" w:rsidRDefault="00741C33" w:rsidP="00976670">
      <w:pPr>
        <w:jc w:val="both"/>
        <w:rPr>
          <w:rFonts w:asciiTheme="majorBidi" w:hAnsiTheme="majorBidi" w:cstheme="majorBidi"/>
          <w:b/>
          <w:bCs/>
        </w:rPr>
      </w:pPr>
    </w:p>
    <w:p w:rsidR="00C871C0" w:rsidRPr="00DD1F9A" w:rsidRDefault="00B8735A" w:rsidP="00C22396">
      <w:pPr>
        <w:pStyle w:val="ListParagraph"/>
        <w:numPr>
          <w:ilvl w:val="0"/>
          <w:numId w:val="20"/>
        </w:numPr>
        <w:ind w:left="0"/>
        <w:jc w:val="both"/>
        <w:rPr>
          <w:rFonts w:asciiTheme="majorBidi" w:hAnsiTheme="majorBidi" w:cstheme="majorBidi"/>
          <w:bCs/>
        </w:rPr>
      </w:pPr>
      <w:r w:rsidRPr="00DD1F9A">
        <w:rPr>
          <w:rFonts w:asciiTheme="majorBidi" w:hAnsiTheme="majorBidi" w:cstheme="majorBidi"/>
          <w:bCs/>
        </w:rPr>
        <w:t xml:space="preserve">The AU Declaration on </w:t>
      </w:r>
      <w:r w:rsidR="00B43DEF">
        <w:rPr>
          <w:rFonts w:asciiTheme="majorBidi" w:hAnsiTheme="majorBidi" w:cstheme="majorBidi"/>
          <w:bCs/>
        </w:rPr>
        <w:t>L</w:t>
      </w:r>
      <w:r w:rsidRPr="00DD1F9A">
        <w:rPr>
          <w:rFonts w:asciiTheme="majorBidi" w:hAnsiTheme="majorBidi" w:cstheme="majorBidi"/>
          <w:bCs/>
        </w:rPr>
        <w:t xml:space="preserve">and </w:t>
      </w:r>
      <w:r w:rsidR="00B43DEF">
        <w:rPr>
          <w:rFonts w:asciiTheme="majorBidi" w:hAnsiTheme="majorBidi" w:cstheme="majorBidi"/>
          <w:bCs/>
        </w:rPr>
        <w:t>I</w:t>
      </w:r>
      <w:r w:rsidRPr="00DD1F9A">
        <w:rPr>
          <w:rFonts w:asciiTheme="majorBidi" w:hAnsiTheme="majorBidi" w:cstheme="majorBidi"/>
          <w:bCs/>
        </w:rPr>
        <w:t>ssues and Challenges in Africa urges Member States to “build adequate human</w:t>
      </w:r>
      <w:r w:rsidR="002A5DBB" w:rsidRPr="00DD1F9A">
        <w:rPr>
          <w:rFonts w:asciiTheme="majorBidi" w:hAnsiTheme="majorBidi" w:cstheme="majorBidi"/>
          <w:bCs/>
        </w:rPr>
        <w:t xml:space="preserve">, financial and </w:t>
      </w:r>
      <w:r w:rsidRPr="00DD1F9A">
        <w:rPr>
          <w:rFonts w:asciiTheme="majorBidi" w:hAnsiTheme="majorBidi" w:cstheme="majorBidi"/>
          <w:bCs/>
        </w:rPr>
        <w:t xml:space="preserve">technical </w:t>
      </w:r>
      <w:r w:rsidR="00941C57" w:rsidRPr="00DD1F9A">
        <w:rPr>
          <w:rFonts w:asciiTheme="majorBidi" w:hAnsiTheme="majorBidi" w:cstheme="majorBidi"/>
          <w:bCs/>
        </w:rPr>
        <w:t>capacities to support land policy development and implementation.”</w:t>
      </w:r>
      <w:r w:rsidR="009B6FE9" w:rsidRPr="00DD1F9A">
        <w:rPr>
          <w:rFonts w:asciiTheme="majorBidi" w:hAnsiTheme="majorBidi" w:cstheme="majorBidi"/>
          <w:bCs/>
        </w:rPr>
        <w:t xml:space="preserve"> </w:t>
      </w:r>
      <w:r w:rsidR="0073130F" w:rsidRPr="00DD1F9A">
        <w:rPr>
          <w:rFonts w:asciiTheme="majorBidi" w:hAnsiTheme="majorBidi" w:cstheme="majorBidi"/>
          <w:bCs/>
        </w:rPr>
        <w:t xml:space="preserve">The key results of LPI’s work in </w:t>
      </w:r>
      <w:r w:rsidR="005D51DE" w:rsidRPr="00DD1F9A">
        <w:rPr>
          <w:rFonts w:asciiTheme="majorBidi" w:hAnsiTheme="majorBidi" w:cstheme="majorBidi"/>
          <w:bCs/>
        </w:rPr>
        <w:t xml:space="preserve">support </w:t>
      </w:r>
      <w:r w:rsidR="0073130F" w:rsidRPr="00DD1F9A">
        <w:rPr>
          <w:rFonts w:asciiTheme="majorBidi" w:hAnsiTheme="majorBidi" w:cstheme="majorBidi"/>
          <w:bCs/>
        </w:rPr>
        <w:t xml:space="preserve">of </w:t>
      </w:r>
      <w:r w:rsidR="00EA1116">
        <w:rPr>
          <w:rFonts w:asciiTheme="majorBidi" w:hAnsiTheme="majorBidi" w:cstheme="majorBidi"/>
          <w:bCs/>
        </w:rPr>
        <w:t>M</w:t>
      </w:r>
      <w:r w:rsidR="005D51DE" w:rsidRPr="00DD1F9A">
        <w:rPr>
          <w:rFonts w:asciiTheme="majorBidi" w:hAnsiTheme="majorBidi" w:cstheme="majorBidi"/>
          <w:bCs/>
        </w:rPr>
        <w:t xml:space="preserve">ember </w:t>
      </w:r>
      <w:r w:rsidR="00EA1116">
        <w:rPr>
          <w:rFonts w:asciiTheme="majorBidi" w:hAnsiTheme="majorBidi" w:cstheme="majorBidi"/>
          <w:bCs/>
        </w:rPr>
        <w:t>S</w:t>
      </w:r>
      <w:r w:rsidR="005D51DE" w:rsidRPr="00DD1F9A">
        <w:rPr>
          <w:rFonts w:asciiTheme="majorBidi" w:hAnsiTheme="majorBidi" w:cstheme="majorBidi"/>
          <w:bCs/>
        </w:rPr>
        <w:t xml:space="preserve">tates in building </w:t>
      </w:r>
      <w:r w:rsidR="009C1386" w:rsidRPr="00DD1F9A">
        <w:rPr>
          <w:rFonts w:asciiTheme="majorBidi" w:hAnsiTheme="majorBidi" w:cstheme="majorBidi"/>
          <w:bCs/>
        </w:rPr>
        <w:t xml:space="preserve">human resource capacity as per </w:t>
      </w:r>
      <w:r w:rsidR="005D51DE" w:rsidRPr="00DD1F9A">
        <w:rPr>
          <w:rFonts w:asciiTheme="majorBidi" w:hAnsiTheme="majorBidi" w:cstheme="majorBidi"/>
          <w:bCs/>
        </w:rPr>
        <w:t xml:space="preserve">the AU </w:t>
      </w:r>
      <w:r w:rsidR="0073130F" w:rsidRPr="00DD1F9A">
        <w:rPr>
          <w:rFonts w:asciiTheme="majorBidi" w:hAnsiTheme="majorBidi" w:cstheme="majorBidi"/>
          <w:bCs/>
        </w:rPr>
        <w:t>Declaration on Land include</w:t>
      </w:r>
      <w:r w:rsidR="00CF43CC" w:rsidRPr="00DD1F9A">
        <w:rPr>
          <w:rFonts w:asciiTheme="majorBidi" w:hAnsiTheme="majorBidi" w:cstheme="majorBidi"/>
          <w:bCs/>
        </w:rPr>
        <w:t xml:space="preserve">: an </w:t>
      </w:r>
      <w:r w:rsidR="00CF43CC" w:rsidRPr="00DD1F9A">
        <w:rPr>
          <w:rFonts w:asciiTheme="majorBidi" w:hAnsiTheme="majorBidi" w:cstheme="majorBidi"/>
          <w:bCs/>
          <w:i/>
        </w:rPr>
        <w:t>Assessment Report on Gaps in Curricula on Land Governance in Africa</w:t>
      </w:r>
      <w:r w:rsidR="00C871C0" w:rsidRPr="00DD1F9A">
        <w:rPr>
          <w:rFonts w:asciiTheme="majorBidi" w:hAnsiTheme="majorBidi" w:cstheme="majorBidi"/>
          <w:bCs/>
        </w:rPr>
        <w:t xml:space="preserve">; preparation of </w:t>
      </w:r>
      <w:r w:rsidR="00CF43CC" w:rsidRPr="00DD1F9A">
        <w:rPr>
          <w:rFonts w:asciiTheme="majorBidi" w:hAnsiTheme="majorBidi" w:cstheme="majorBidi"/>
          <w:bCs/>
          <w:i/>
        </w:rPr>
        <w:t>Guidelines for Curricula Development on Land Governance in Africa</w:t>
      </w:r>
      <w:r w:rsidR="00CF43CC" w:rsidRPr="00DD1F9A">
        <w:rPr>
          <w:rFonts w:asciiTheme="majorBidi" w:hAnsiTheme="majorBidi" w:cstheme="majorBidi"/>
          <w:bCs/>
        </w:rPr>
        <w:t xml:space="preserve">; </w:t>
      </w:r>
      <w:r w:rsidR="0073130F" w:rsidRPr="00DD1F9A">
        <w:rPr>
          <w:rFonts w:asciiTheme="majorBidi" w:hAnsiTheme="majorBidi" w:cstheme="majorBidi"/>
          <w:bCs/>
        </w:rPr>
        <w:t xml:space="preserve">launching </w:t>
      </w:r>
      <w:r w:rsidR="00C871C0" w:rsidRPr="00DD1F9A">
        <w:rPr>
          <w:rFonts w:asciiTheme="majorBidi" w:hAnsiTheme="majorBidi" w:cstheme="majorBidi"/>
          <w:bCs/>
        </w:rPr>
        <w:t xml:space="preserve">of </w:t>
      </w:r>
      <w:r w:rsidR="00CF43CC" w:rsidRPr="00DD1F9A">
        <w:rPr>
          <w:rFonts w:asciiTheme="majorBidi" w:hAnsiTheme="majorBidi" w:cstheme="majorBidi"/>
          <w:bCs/>
        </w:rPr>
        <w:t xml:space="preserve">a project on </w:t>
      </w:r>
      <w:r w:rsidR="0073130F" w:rsidRPr="00DD1F9A">
        <w:rPr>
          <w:rFonts w:asciiTheme="majorBidi" w:hAnsiTheme="majorBidi" w:cstheme="majorBidi"/>
          <w:bCs/>
        </w:rPr>
        <w:t>Strengthening</w:t>
      </w:r>
      <w:r w:rsidR="00C871C0" w:rsidRPr="00DD1F9A">
        <w:rPr>
          <w:rFonts w:asciiTheme="majorBidi" w:hAnsiTheme="majorBidi" w:cstheme="majorBidi"/>
          <w:bCs/>
        </w:rPr>
        <w:t xml:space="preserve"> Land Governance in Africa</w:t>
      </w:r>
      <w:r w:rsidR="00CF43CC" w:rsidRPr="00DD1F9A">
        <w:rPr>
          <w:rFonts w:asciiTheme="majorBidi" w:hAnsiTheme="majorBidi" w:cstheme="majorBidi"/>
          <w:bCs/>
        </w:rPr>
        <w:t xml:space="preserve"> </w:t>
      </w:r>
      <w:r w:rsidR="0073130F" w:rsidRPr="00DD1F9A">
        <w:rPr>
          <w:rFonts w:asciiTheme="majorBidi" w:hAnsiTheme="majorBidi" w:cstheme="majorBidi"/>
          <w:bCs/>
        </w:rPr>
        <w:t>(</w:t>
      </w:r>
      <w:r w:rsidR="00CF43CC" w:rsidRPr="00DD1F9A">
        <w:rPr>
          <w:rFonts w:asciiTheme="majorBidi" w:hAnsiTheme="majorBidi" w:cstheme="majorBidi"/>
          <w:bCs/>
        </w:rPr>
        <w:t>SLGA</w:t>
      </w:r>
      <w:r w:rsidR="0073130F" w:rsidRPr="00DD1F9A">
        <w:rPr>
          <w:rFonts w:asciiTheme="majorBidi" w:hAnsiTheme="majorBidi" w:cstheme="majorBidi"/>
          <w:bCs/>
        </w:rPr>
        <w:t>)</w:t>
      </w:r>
      <w:r w:rsidR="00C871C0" w:rsidRPr="00DD1F9A">
        <w:rPr>
          <w:rFonts w:asciiTheme="majorBidi" w:hAnsiTheme="majorBidi" w:cstheme="majorBidi"/>
          <w:bCs/>
        </w:rPr>
        <w:t xml:space="preserve"> targeted at improving training and</w:t>
      </w:r>
      <w:r w:rsidR="0073130F" w:rsidRPr="00DD1F9A">
        <w:rPr>
          <w:rFonts w:asciiTheme="majorBidi" w:hAnsiTheme="majorBidi" w:cstheme="majorBidi"/>
          <w:bCs/>
        </w:rPr>
        <w:t xml:space="preserve"> research </w:t>
      </w:r>
      <w:r w:rsidR="00C871C0" w:rsidRPr="00DD1F9A">
        <w:rPr>
          <w:rFonts w:asciiTheme="majorBidi" w:hAnsiTheme="majorBidi" w:cstheme="majorBidi"/>
          <w:bCs/>
        </w:rPr>
        <w:t xml:space="preserve">capacities </w:t>
      </w:r>
      <w:r w:rsidR="0073130F" w:rsidRPr="00DD1F9A">
        <w:rPr>
          <w:rFonts w:asciiTheme="majorBidi" w:hAnsiTheme="majorBidi" w:cstheme="majorBidi"/>
          <w:bCs/>
        </w:rPr>
        <w:t xml:space="preserve">and </w:t>
      </w:r>
      <w:r w:rsidR="00C871C0" w:rsidRPr="00DD1F9A">
        <w:rPr>
          <w:rFonts w:asciiTheme="majorBidi" w:hAnsiTheme="majorBidi" w:cstheme="majorBidi"/>
          <w:bCs/>
        </w:rPr>
        <w:t xml:space="preserve">establishing a </w:t>
      </w:r>
      <w:r w:rsidR="00CF43CC" w:rsidRPr="00DD1F9A">
        <w:rPr>
          <w:rFonts w:asciiTheme="majorBidi" w:hAnsiTheme="majorBidi" w:cstheme="majorBidi"/>
          <w:bCs/>
        </w:rPr>
        <w:t>Network of Excellence on La</w:t>
      </w:r>
      <w:r w:rsidR="00C871C0" w:rsidRPr="00DD1F9A">
        <w:rPr>
          <w:rFonts w:asciiTheme="majorBidi" w:hAnsiTheme="majorBidi" w:cstheme="majorBidi"/>
          <w:bCs/>
        </w:rPr>
        <w:t xml:space="preserve">nd Governance in Africa (NELGA). The SLGA </w:t>
      </w:r>
      <w:r w:rsidR="0086637C" w:rsidRPr="00DD1F9A">
        <w:rPr>
          <w:rFonts w:asciiTheme="majorBidi" w:hAnsiTheme="majorBidi" w:cstheme="majorBidi"/>
          <w:bCs/>
        </w:rPr>
        <w:t>project is</w:t>
      </w:r>
      <w:r w:rsidR="00C871C0" w:rsidRPr="00DD1F9A">
        <w:rPr>
          <w:rFonts w:asciiTheme="majorBidi" w:hAnsiTheme="majorBidi" w:cstheme="majorBidi"/>
          <w:bCs/>
        </w:rPr>
        <w:t xml:space="preserve"> implemented in collaboration with the German Agency for International Cooperation (GIZ) and the World Bank, with financial support from the German </w:t>
      </w:r>
      <w:r w:rsidR="00C871C0" w:rsidRPr="00DD1F9A">
        <w:rPr>
          <w:shd w:val="clear" w:color="auto" w:fill="FFFFFF"/>
        </w:rPr>
        <w:t>Federal Ministry for Economic Cooperation and Development (</w:t>
      </w:r>
      <w:r w:rsidR="00C871C0" w:rsidRPr="00DD1F9A">
        <w:rPr>
          <w:rStyle w:val="Emphasis"/>
          <w:bCs/>
          <w:i w:val="0"/>
          <w:iCs w:val="0"/>
          <w:shd w:val="clear" w:color="auto" w:fill="FFFFFF"/>
        </w:rPr>
        <w:t>BMZ</w:t>
      </w:r>
      <w:r w:rsidR="00C871C0" w:rsidRPr="00DD1F9A">
        <w:rPr>
          <w:shd w:val="clear" w:color="auto" w:fill="FFFFFF"/>
        </w:rPr>
        <w:t>)</w:t>
      </w:r>
      <w:r w:rsidR="00C871C0" w:rsidRPr="00DD1F9A">
        <w:rPr>
          <w:rFonts w:asciiTheme="majorBidi" w:hAnsiTheme="majorBidi" w:cstheme="majorBidi"/>
          <w:bCs/>
          <w:i/>
        </w:rPr>
        <w:t xml:space="preserve">. </w:t>
      </w:r>
      <w:r w:rsidR="00C871C0" w:rsidRPr="00DD1F9A">
        <w:rPr>
          <w:rFonts w:asciiTheme="majorBidi" w:hAnsiTheme="majorBidi" w:cstheme="majorBidi"/>
          <w:bCs/>
        </w:rPr>
        <w:t>The key results achieved are listed here below:</w:t>
      </w:r>
    </w:p>
    <w:p w:rsidR="00CF43CC" w:rsidRDefault="00CF43CC" w:rsidP="00976670">
      <w:pPr>
        <w:jc w:val="both"/>
        <w:rPr>
          <w:rFonts w:asciiTheme="majorBidi" w:hAnsiTheme="majorBidi" w:cstheme="majorBidi"/>
          <w:bCs/>
        </w:rPr>
      </w:pPr>
    </w:p>
    <w:p w:rsidR="00E3579E" w:rsidRPr="00DD1F9A" w:rsidRDefault="00185C05" w:rsidP="00932D1E">
      <w:pPr>
        <w:pStyle w:val="ListParagraph"/>
        <w:numPr>
          <w:ilvl w:val="0"/>
          <w:numId w:val="20"/>
        </w:numPr>
        <w:ind w:left="0"/>
        <w:jc w:val="both"/>
        <w:rPr>
          <w:rFonts w:asciiTheme="majorBidi" w:hAnsiTheme="majorBidi" w:cstheme="majorBidi"/>
          <w:bCs/>
          <w:lang w:val="en-GB"/>
        </w:rPr>
      </w:pPr>
      <w:r w:rsidRPr="00DD1F9A">
        <w:rPr>
          <w:rFonts w:asciiTheme="majorBidi" w:hAnsiTheme="majorBidi" w:cstheme="majorBidi"/>
          <w:b/>
          <w:bCs/>
          <w:i/>
        </w:rPr>
        <w:t>G</w:t>
      </w:r>
      <w:r w:rsidR="005E505C" w:rsidRPr="00DD1F9A">
        <w:rPr>
          <w:rFonts w:asciiTheme="majorBidi" w:hAnsiTheme="majorBidi" w:cstheme="majorBidi"/>
          <w:b/>
          <w:bCs/>
          <w:i/>
        </w:rPr>
        <w:t xml:space="preserve">aps in </w:t>
      </w:r>
      <w:r w:rsidR="00734317" w:rsidRPr="00DD1F9A">
        <w:rPr>
          <w:rFonts w:asciiTheme="majorBidi" w:hAnsiTheme="majorBidi" w:cstheme="majorBidi"/>
          <w:b/>
          <w:bCs/>
          <w:i/>
        </w:rPr>
        <w:t xml:space="preserve">curricula for land governance </w:t>
      </w:r>
      <w:r w:rsidR="00374412" w:rsidRPr="00DD1F9A">
        <w:rPr>
          <w:rFonts w:asciiTheme="majorBidi" w:hAnsiTheme="majorBidi" w:cstheme="majorBidi"/>
          <w:b/>
          <w:bCs/>
          <w:i/>
        </w:rPr>
        <w:t xml:space="preserve">identified: </w:t>
      </w:r>
      <w:r w:rsidR="00684C01" w:rsidRPr="00DD1F9A">
        <w:rPr>
          <w:rFonts w:asciiTheme="majorBidi" w:hAnsiTheme="majorBidi" w:cstheme="majorBidi"/>
          <w:bCs/>
        </w:rPr>
        <w:t>The</w:t>
      </w:r>
      <w:r w:rsidR="00762723" w:rsidRPr="00DD1F9A">
        <w:rPr>
          <w:rFonts w:asciiTheme="majorBidi" w:hAnsiTheme="majorBidi" w:cstheme="majorBidi"/>
          <w:bCs/>
        </w:rPr>
        <w:t xml:space="preserve"> LPI</w:t>
      </w:r>
      <w:r w:rsidR="00843827" w:rsidRPr="00DD1F9A">
        <w:rPr>
          <w:rFonts w:asciiTheme="majorBidi" w:hAnsiTheme="majorBidi" w:cstheme="majorBidi"/>
          <w:bCs/>
        </w:rPr>
        <w:t>, with funding from the European Union (EU)</w:t>
      </w:r>
      <w:r w:rsidR="0086637C" w:rsidRPr="00DD1F9A">
        <w:rPr>
          <w:rFonts w:asciiTheme="majorBidi" w:hAnsiTheme="majorBidi" w:cstheme="majorBidi"/>
          <w:bCs/>
        </w:rPr>
        <w:t>, prepared</w:t>
      </w:r>
      <w:r w:rsidR="00762723" w:rsidRPr="00DD1F9A">
        <w:rPr>
          <w:rFonts w:asciiTheme="majorBidi" w:hAnsiTheme="majorBidi" w:cstheme="majorBidi"/>
          <w:bCs/>
        </w:rPr>
        <w:t xml:space="preserve"> </w:t>
      </w:r>
      <w:r w:rsidR="00762723" w:rsidRPr="007C590A">
        <w:rPr>
          <w:rFonts w:asciiTheme="majorBidi" w:hAnsiTheme="majorBidi" w:cstheme="majorBidi"/>
          <w:bCs/>
        </w:rPr>
        <w:t>an</w:t>
      </w:r>
      <w:r w:rsidR="009C1386" w:rsidRPr="0013305A">
        <w:rPr>
          <w:rFonts w:asciiTheme="majorBidi" w:hAnsiTheme="majorBidi" w:cstheme="majorBidi"/>
          <w:bCs/>
        </w:rPr>
        <w:t xml:space="preserve"> </w:t>
      </w:r>
      <w:r w:rsidR="009C1386" w:rsidRPr="0013305A">
        <w:rPr>
          <w:rFonts w:asciiTheme="majorBidi" w:hAnsiTheme="majorBidi" w:cstheme="majorBidi"/>
          <w:bCs/>
          <w:i/>
        </w:rPr>
        <w:t xml:space="preserve">Assessment Report on </w:t>
      </w:r>
      <w:r w:rsidR="000747A8" w:rsidRPr="0013305A">
        <w:rPr>
          <w:rFonts w:asciiTheme="majorBidi" w:hAnsiTheme="majorBidi" w:cstheme="majorBidi"/>
          <w:bCs/>
          <w:i/>
        </w:rPr>
        <w:t>Gaps in Curricula on Land Governance in Africa</w:t>
      </w:r>
      <w:r w:rsidR="0086637C" w:rsidRPr="007C590A">
        <w:rPr>
          <w:rFonts w:asciiTheme="majorBidi" w:hAnsiTheme="majorBidi" w:cstheme="majorBidi"/>
          <w:bCs/>
          <w:i/>
        </w:rPr>
        <w:t xml:space="preserve">, </w:t>
      </w:r>
      <w:r w:rsidR="0086637C" w:rsidRPr="00AE0DF0">
        <w:rPr>
          <w:rFonts w:asciiTheme="majorBidi" w:hAnsiTheme="majorBidi" w:cstheme="majorBidi"/>
          <w:bCs/>
        </w:rPr>
        <w:t>based</w:t>
      </w:r>
      <w:r w:rsidR="00762723" w:rsidRPr="00DD1F9A">
        <w:rPr>
          <w:rFonts w:asciiTheme="majorBidi" w:hAnsiTheme="majorBidi" w:cstheme="majorBidi"/>
          <w:bCs/>
        </w:rPr>
        <w:t xml:space="preserve"> on</w:t>
      </w:r>
      <w:r w:rsidR="00762723" w:rsidRPr="00DD1F9A">
        <w:rPr>
          <w:rFonts w:asciiTheme="majorBidi" w:hAnsiTheme="majorBidi" w:cstheme="majorBidi"/>
          <w:bCs/>
          <w:i/>
        </w:rPr>
        <w:t xml:space="preserve"> </w:t>
      </w:r>
      <w:r w:rsidR="00762723" w:rsidRPr="00DD1F9A">
        <w:rPr>
          <w:rFonts w:asciiTheme="majorBidi" w:hAnsiTheme="majorBidi" w:cstheme="majorBidi"/>
          <w:bCs/>
        </w:rPr>
        <w:t xml:space="preserve">a </w:t>
      </w:r>
      <w:r w:rsidR="00AF1365" w:rsidRPr="00DD1F9A">
        <w:rPr>
          <w:rFonts w:asciiTheme="majorBidi" w:hAnsiTheme="majorBidi" w:cstheme="majorBidi"/>
          <w:bCs/>
        </w:rPr>
        <w:t>comprehensive review of the needs of the land governance sector</w:t>
      </w:r>
      <w:r w:rsidR="00762723" w:rsidRPr="00DD1F9A">
        <w:rPr>
          <w:rFonts w:asciiTheme="majorBidi" w:hAnsiTheme="majorBidi" w:cstheme="majorBidi"/>
          <w:bCs/>
        </w:rPr>
        <w:t xml:space="preserve"> particularly</w:t>
      </w:r>
      <w:r w:rsidR="00AF1365" w:rsidRPr="00DD1F9A">
        <w:rPr>
          <w:rFonts w:asciiTheme="majorBidi" w:hAnsiTheme="majorBidi" w:cstheme="majorBidi"/>
          <w:bCs/>
        </w:rPr>
        <w:t xml:space="preserve"> the skills and expertise needed </w:t>
      </w:r>
      <w:r w:rsidR="00DE105C">
        <w:rPr>
          <w:rFonts w:asciiTheme="majorBidi" w:hAnsiTheme="majorBidi" w:cstheme="majorBidi"/>
          <w:bCs/>
        </w:rPr>
        <w:t>by</w:t>
      </w:r>
      <w:r w:rsidR="00AF1365" w:rsidRPr="00DD1F9A">
        <w:rPr>
          <w:rFonts w:asciiTheme="majorBidi" w:hAnsiTheme="majorBidi" w:cstheme="majorBidi"/>
          <w:bCs/>
        </w:rPr>
        <w:t xml:space="preserve"> land professional to support public and private institutions of land management</w:t>
      </w:r>
      <w:r w:rsidR="00762723" w:rsidRPr="00DD1F9A">
        <w:rPr>
          <w:rFonts w:asciiTheme="majorBidi" w:hAnsiTheme="majorBidi" w:cstheme="majorBidi"/>
          <w:bCs/>
        </w:rPr>
        <w:t>,</w:t>
      </w:r>
      <w:r w:rsidR="00AF1365" w:rsidRPr="00DD1F9A">
        <w:rPr>
          <w:rFonts w:asciiTheme="majorBidi" w:hAnsiTheme="majorBidi" w:cstheme="majorBidi"/>
          <w:bCs/>
        </w:rPr>
        <w:t xml:space="preserve"> including traditional authorities. </w:t>
      </w:r>
      <w:r w:rsidR="0091076E" w:rsidRPr="00DD1F9A">
        <w:rPr>
          <w:rFonts w:asciiTheme="majorBidi" w:hAnsiTheme="majorBidi" w:cstheme="majorBidi"/>
          <w:bCs/>
        </w:rPr>
        <w:t xml:space="preserve">The report </w:t>
      </w:r>
      <w:r w:rsidR="00DE105C">
        <w:rPr>
          <w:rFonts w:asciiTheme="majorBidi" w:hAnsiTheme="majorBidi" w:cstheme="majorBidi"/>
          <w:bCs/>
        </w:rPr>
        <w:t xml:space="preserve">also </w:t>
      </w:r>
      <w:r w:rsidR="00AF1365" w:rsidRPr="00DD1F9A">
        <w:rPr>
          <w:rFonts w:asciiTheme="majorBidi" w:hAnsiTheme="majorBidi" w:cstheme="majorBidi"/>
          <w:bCs/>
        </w:rPr>
        <w:t xml:space="preserve">provides a synopsis of </w:t>
      </w:r>
      <w:r w:rsidR="00762723" w:rsidRPr="00DD1F9A">
        <w:rPr>
          <w:rFonts w:asciiTheme="majorBidi" w:hAnsiTheme="majorBidi" w:cstheme="majorBidi"/>
          <w:bCs/>
        </w:rPr>
        <w:t xml:space="preserve">the current state of </w:t>
      </w:r>
      <w:r w:rsidR="00AF1365" w:rsidRPr="00DD1F9A">
        <w:rPr>
          <w:rFonts w:asciiTheme="majorBidi" w:hAnsiTheme="majorBidi" w:cstheme="majorBidi"/>
          <w:bCs/>
        </w:rPr>
        <w:t xml:space="preserve">land governance </w:t>
      </w:r>
      <w:r w:rsidR="00762723" w:rsidRPr="00DD1F9A">
        <w:rPr>
          <w:rFonts w:asciiTheme="majorBidi" w:hAnsiTheme="majorBidi" w:cstheme="majorBidi"/>
          <w:bCs/>
        </w:rPr>
        <w:t>training</w:t>
      </w:r>
      <w:r w:rsidR="00DE105C">
        <w:rPr>
          <w:rFonts w:asciiTheme="majorBidi" w:hAnsiTheme="majorBidi" w:cstheme="majorBidi"/>
          <w:bCs/>
        </w:rPr>
        <w:t xml:space="preserve">, examining </w:t>
      </w:r>
      <w:r w:rsidR="00AF1365" w:rsidRPr="00DD1F9A">
        <w:rPr>
          <w:rFonts w:asciiTheme="majorBidi" w:hAnsiTheme="majorBidi" w:cstheme="majorBidi"/>
          <w:bCs/>
        </w:rPr>
        <w:t>a wide range of</w:t>
      </w:r>
      <w:r w:rsidR="002965A1" w:rsidRPr="00DD1F9A">
        <w:rPr>
          <w:rFonts w:asciiTheme="majorBidi" w:hAnsiTheme="majorBidi" w:cstheme="majorBidi"/>
          <w:bCs/>
        </w:rPr>
        <w:t xml:space="preserve"> institutions of higher learning</w:t>
      </w:r>
      <w:r w:rsidR="00762723" w:rsidRPr="00DD1F9A">
        <w:rPr>
          <w:rFonts w:asciiTheme="majorBidi" w:hAnsiTheme="majorBidi" w:cstheme="majorBidi"/>
          <w:bCs/>
        </w:rPr>
        <w:t xml:space="preserve">. The </w:t>
      </w:r>
      <w:r w:rsidR="00762723" w:rsidRPr="00DD1F9A">
        <w:rPr>
          <w:rFonts w:asciiTheme="majorBidi" w:hAnsiTheme="majorBidi" w:cstheme="majorBidi"/>
          <w:bCs/>
        </w:rPr>
        <w:lastRenderedPageBreak/>
        <w:t xml:space="preserve">report </w:t>
      </w:r>
      <w:r w:rsidR="00DE105C">
        <w:rPr>
          <w:rFonts w:asciiTheme="majorBidi" w:hAnsiTheme="majorBidi" w:cstheme="majorBidi"/>
          <w:bCs/>
        </w:rPr>
        <w:t xml:space="preserve">then analysis the </w:t>
      </w:r>
      <w:r w:rsidR="00AF1365" w:rsidRPr="00DD1F9A">
        <w:rPr>
          <w:rFonts w:asciiTheme="majorBidi" w:hAnsiTheme="majorBidi" w:cstheme="majorBidi"/>
          <w:bCs/>
        </w:rPr>
        <w:t xml:space="preserve">key gaps </w:t>
      </w:r>
      <w:r w:rsidR="00762723" w:rsidRPr="00DD1F9A">
        <w:rPr>
          <w:rFonts w:asciiTheme="majorBidi" w:hAnsiTheme="majorBidi" w:cstheme="majorBidi"/>
          <w:bCs/>
        </w:rPr>
        <w:t>in the curricula used to train land professionals in Africa, highlighting the areas that need to be enhanced in the real</w:t>
      </w:r>
      <w:r w:rsidR="004B2FD4">
        <w:rPr>
          <w:rFonts w:asciiTheme="majorBidi" w:hAnsiTheme="majorBidi" w:cstheme="majorBidi"/>
          <w:bCs/>
        </w:rPr>
        <w:t>m</w:t>
      </w:r>
      <w:r w:rsidR="00762723" w:rsidRPr="00DD1F9A">
        <w:rPr>
          <w:rFonts w:asciiTheme="majorBidi" w:hAnsiTheme="majorBidi" w:cstheme="majorBidi"/>
          <w:bCs/>
        </w:rPr>
        <w:t xml:space="preserve">s of training, research, networking and partnerships. </w:t>
      </w:r>
      <w:r w:rsidR="002965A1" w:rsidRPr="00DD1F9A">
        <w:rPr>
          <w:rFonts w:asciiTheme="majorBidi" w:hAnsiTheme="majorBidi" w:cstheme="majorBidi"/>
          <w:bCs/>
        </w:rPr>
        <w:t xml:space="preserve"> </w:t>
      </w:r>
      <w:r w:rsidR="00DE105C">
        <w:rPr>
          <w:rFonts w:asciiTheme="majorBidi" w:hAnsiTheme="majorBidi" w:cstheme="majorBidi"/>
          <w:bCs/>
        </w:rPr>
        <w:t>The key areas that need to be enhanced in curricula are</w:t>
      </w:r>
      <w:r w:rsidR="007D5C05" w:rsidRPr="00DD1F9A">
        <w:rPr>
          <w:rFonts w:asciiTheme="majorBidi" w:hAnsiTheme="majorBidi" w:cstheme="majorBidi"/>
          <w:bCs/>
        </w:rPr>
        <w:t xml:space="preserve">: </w:t>
      </w:r>
      <w:r w:rsidR="007D5C05" w:rsidRPr="00DD1F9A">
        <w:rPr>
          <w:rFonts w:asciiTheme="majorBidi" w:hAnsiTheme="majorBidi" w:cstheme="majorBidi"/>
          <w:bCs/>
          <w:lang w:val="en-GB"/>
        </w:rPr>
        <w:t xml:space="preserve">the </w:t>
      </w:r>
      <w:r w:rsidR="006336BB" w:rsidRPr="00DD1F9A">
        <w:rPr>
          <w:rFonts w:asciiTheme="majorBidi" w:hAnsiTheme="majorBidi" w:cstheme="majorBidi"/>
          <w:bCs/>
          <w:lang w:val="en-GB"/>
        </w:rPr>
        <w:t>impact</w:t>
      </w:r>
      <w:r w:rsidR="007D5C05" w:rsidRPr="00DD1F9A">
        <w:rPr>
          <w:rFonts w:asciiTheme="majorBidi" w:hAnsiTheme="majorBidi" w:cstheme="majorBidi"/>
          <w:bCs/>
          <w:lang w:val="en-GB"/>
        </w:rPr>
        <w:t xml:space="preserve"> of colonialism; s</w:t>
      </w:r>
      <w:r w:rsidR="00822E15" w:rsidRPr="00DD1F9A">
        <w:rPr>
          <w:rFonts w:asciiTheme="majorBidi" w:hAnsiTheme="majorBidi" w:cstheme="majorBidi"/>
          <w:bCs/>
          <w:lang w:val="en-GB"/>
        </w:rPr>
        <w:t xml:space="preserve">tate </w:t>
      </w:r>
      <w:r w:rsidR="007D5C05" w:rsidRPr="00DD1F9A">
        <w:rPr>
          <w:rFonts w:asciiTheme="majorBidi" w:hAnsiTheme="majorBidi" w:cstheme="majorBidi"/>
          <w:bCs/>
          <w:lang w:val="en-GB"/>
        </w:rPr>
        <w:t xml:space="preserve"> ownership and sovereignty over land; d</w:t>
      </w:r>
      <w:r w:rsidR="00822E15" w:rsidRPr="00DD1F9A">
        <w:rPr>
          <w:rFonts w:asciiTheme="majorBidi" w:hAnsiTheme="majorBidi" w:cstheme="majorBidi"/>
          <w:bCs/>
          <w:lang w:val="en-GB"/>
        </w:rPr>
        <w:t>ecentralisation of land administration</w:t>
      </w:r>
      <w:r w:rsidR="007D5C05" w:rsidRPr="00DD1F9A">
        <w:rPr>
          <w:rFonts w:asciiTheme="majorBidi" w:hAnsiTheme="majorBidi" w:cstheme="majorBidi"/>
          <w:bCs/>
          <w:lang w:val="en-GB"/>
        </w:rPr>
        <w:t xml:space="preserve">; </w:t>
      </w:r>
      <w:r w:rsidR="00822E15" w:rsidRPr="00DD1F9A">
        <w:rPr>
          <w:rFonts w:asciiTheme="majorBidi" w:hAnsiTheme="majorBidi" w:cstheme="majorBidi"/>
          <w:bCs/>
          <w:lang w:val="en-GB"/>
        </w:rPr>
        <w:t>Rural and urban land governance</w:t>
      </w:r>
      <w:r w:rsidR="007D5C05" w:rsidRPr="00DD1F9A">
        <w:rPr>
          <w:rFonts w:asciiTheme="majorBidi" w:hAnsiTheme="majorBidi" w:cstheme="majorBidi"/>
          <w:bCs/>
          <w:lang w:val="en-GB"/>
        </w:rPr>
        <w:t>;  l</w:t>
      </w:r>
      <w:r w:rsidR="00822E15" w:rsidRPr="00DD1F9A">
        <w:rPr>
          <w:rFonts w:asciiTheme="majorBidi" w:hAnsiTheme="majorBidi" w:cstheme="majorBidi"/>
          <w:bCs/>
          <w:lang w:val="en-GB"/>
        </w:rPr>
        <w:t xml:space="preserve">and administration </w:t>
      </w:r>
      <w:r w:rsidR="007D5C05" w:rsidRPr="00DD1F9A">
        <w:rPr>
          <w:rFonts w:asciiTheme="majorBidi" w:hAnsiTheme="majorBidi" w:cstheme="majorBidi"/>
          <w:bCs/>
          <w:lang w:val="en-GB"/>
        </w:rPr>
        <w:t>in customary jurisdictions; l</w:t>
      </w:r>
      <w:r w:rsidR="00822E15" w:rsidRPr="00DD1F9A">
        <w:rPr>
          <w:rFonts w:asciiTheme="majorBidi" w:hAnsiTheme="majorBidi" w:cstheme="majorBidi"/>
          <w:bCs/>
          <w:lang w:val="en-GB"/>
        </w:rPr>
        <w:t>arge scale land acquisitions</w:t>
      </w:r>
      <w:r w:rsidR="007D5C05" w:rsidRPr="00DD1F9A">
        <w:rPr>
          <w:rFonts w:asciiTheme="majorBidi" w:hAnsiTheme="majorBidi" w:cstheme="majorBidi"/>
          <w:bCs/>
          <w:lang w:val="en-GB"/>
        </w:rPr>
        <w:t>; religion and c</w:t>
      </w:r>
      <w:r w:rsidR="00822E15" w:rsidRPr="00DD1F9A">
        <w:rPr>
          <w:rFonts w:asciiTheme="majorBidi" w:hAnsiTheme="majorBidi" w:cstheme="majorBidi"/>
          <w:bCs/>
          <w:lang w:val="en-GB"/>
        </w:rPr>
        <w:t>ulture</w:t>
      </w:r>
      <w:r w:rsidR="007D5C05" w:rsidRPr="00DD1F9A">
        <w:rPr>
          <w:rFonts w:asciiTheme="majorBidi" w:hAnsiTheme="majorBidi" w:cstheme="majorBidi"/>
          <w:bCs/>
          <w:lang w:val="en-GB"/>
        </w:rPr>
        <w:t>; c</w:t>
      </w:r>
      <w:r w:rsidR="00822E15" w:rsidRPr="00DD1F9A">
        <w:rPr>
          <w:rFonts w:asciiTheme="majorBidi" w:hAnsiTheme="majorBidi" w:cstheme="majorBidi"/>
          <w:bCs/>
          <w:lang w:val="en-GB"/>
        </w:rPr>
        <w:t>orruption</w:t>
      </w:r>
      <w:r w:rsidR="007D5C05" w:rsidRPr="00DD1F9A">
        <w:rPr>
          <w:rFonts w:asciiTheme="majorBidi" w:hAnsiTheme="majorBidi" w:cstheme="majorBidi"/>
          <w:bCs/>
          <w:lang w:val="en-GB"/>
        </w:rPr>
        <w:t xml:space="preserve"> in land management; w</w:t>
      </w:r>
      <w:r w:rsidR="00822E15" w:rsidRPr="00DD1F9A">
        <w:rPr>
          <w:rFonts w:asciiTheme="majorBidi" w:hAnsiTheme="majorBidi" w:cstheme="majorBidi"/>
          <w:bCs/>
          <w:lang w:val="en-GB"/>
        </w:rPr>
        <w:t>omen’s land rights and the rights of vulnerable groups</w:t>
      </w:r>
      <w:r w:rsidR="007D5C05" w:rsidRPr="00DD1F9A">
        <w:rPr>
          <w:rFonts w:asciiTheme="majorBidi" w:hAnsiTheme="majorBidi" w:cstheme="majorBidi"/>
          <w:bCs/>
          <w:lang w:val="en-GB"/>
        </w:rPr>
        <w:t>; climate c</w:t>
      </w:r>
      <w:r w:rsidR="00822E15" w:rsidRPr="00DD1F9A">
        <w:rPr>
          <w:rFonts w:asciiTheme="majorBidi" w:hAnsiTheme="majorBidi" w:cstheme="majorBidi"/>
          <w:bCs/>
          <w:lang w:val="en-GB"/>
        </w:rPr>
        <w:t xml:space="preserve">hange </w:t>
      </w:r>
      <w:r w:rsidR="007D5C05" w:rsidRPr="00DD1F9A">
        <w:rPr>
          <w:rFonts w:asciiTheme="majorBidi" w:hAnsiTheme="majorBidi" w:cstheme="majorBidi"/>
          <w:bCs/>
          <w:lang w:val="en-GB"/>
        </w:rPr>
        <w:t xml:space="preserve">and natural resource management; innovation and technology; </w:t>
      </w:r>
      <w:r w:rsidR="006336BB" w:rsidRPr="00DD1F9A">
        <w:rPr>
          <w:rFonts w:asciiTheme="majorBidi" w:hAnsiTheme="majorBidi" w:cstheme="majorBidi"/>
          <w:bCs/>
          <w:lang w:val="en-GB"/>
        </w:rPr>
        <w:t>c</w:t>
      </w:r>
      <w:r w:rsidR="00822E15" w:rsidRPr="00DD1F9A">
        <w:rPr>
          <w:rFonts w:asciiTheme="majorBidi" w:hAnsiTheme="majorBidi" w:cstheme="majorBidi"/>
          <w:bCs/>
          <w:lang w:val="en-GB"/>
        </w:rPr>
        <w:t>onfli</w:t>
      </w:r>
      <w:r w:rsidR="007D5C05" w:rsidRPr="00DD1F9A">
        <w:rPr>
          <w:rFonts w:asciiTheme="majorBidi" w:hAnsiTheme="majorBidi" w:cstheme="majorBidi"/>
          <w:bCs/>
          <w:lang w:val="en-GB"/>
        </w:rPr>
        <w:t>ct management methods and tools; ethics in the land profession; global and regional instruments relevant to the land sector (SDGs</w:t>
      </w:r>
      <w:r w:rsidR="006336BB" w:rsidRPr="00DD1F9A">
        <w:rPr>
          <w:rFonts w:asciiTheme="majorBidi" w:hAnsiTheme="majorBidi" w:cstheme="majorBidi"/>
          <w:bCs/>
          <w:lang w:val="en-GB"/>
        </w:rPr>
        <w:t>, Agend</w:t>
      </w:r>
      <w:r w:rsidR="007D5C05" w:rsidRPr="00DD1F9A">
        <w:rPr>
          <w:rFonts w:asciiTheme="majorBidi" w:hAnsiTheme="majorBidi" w:cstheme="majorBidi"/>
          <w:bCs/>
          <w:lang w:val="en-GB"/>
        </w:rPr>
        <w:t>a</w:t>
      </w:r>
      <w:r w:rsidR="006336BB" w:rsidRPr="00DD1F9A">
        <w:rPr>
          <w:rFonts w:asciiTheme="majorBidi" w:hAnsiTheme="majorBidi" w:cstheme="majorBidi"/>
          <w:bCs/>
          <w:lang w:val="en-GB"/>
        </w:rPr>
        <w:t xml:space="preserve"> </w:t>
      </w:r>
      <w:r w:rsidR="007D5C05" w:rsidRPr="00DD1F9A">
        <w:rPr>
          <w:rFonts w:asciiTheme="majorBidi" w:hAnsiTheme="majorBidi" w:cstheme="majorBidi"/>
          <w:bCs/>
          <w:lang w:val="en-GB"/>
        </w:rPr>
        <w:t>20</w:t>
      </w:r>
      <w:r w:rsidR="00E3579E" w:rsidRPr="00DD1F9A">
        <w:rPr>
          <w:rFonts w:asciiTheme="majorBidi" w:hAnsiTheme="majorBidi" w:cstheme="majorBidi"/>
          <w:bCs/>
          <w:lang w:val="en-GB"/>
        </w:rPr>
        <w:t xml:space="preserve">63, AU Declaration on </w:t>
      </w:r>
      <w:r w:rsidR="009D1BC4">
        <w:rPr>
          <w:rFonts w:asciiTheme="majorBidi" w:hAnsiTheme="majorBidi" w:cstheme="majorBidi"/>
          <w:bCs/>
          <w:lang w:val="en-GB"/>
        </w:rPr>
        <w:t>L</w:t>
      </w:r>
      <w:r w:rsidR="00E3579E" w:rsidRPr="00DD1F9A">
        <w:rPr>
          <w:rFonts w:asciiTheme="majorBidi" w:hAnsiTheme="majorBidi" w:cstheme="majorBidi"/>
          <w:bCs/>
          <w:lang w:val="en-GB"/>
        </w:rPr>
        <w:t>and etc)</w:t>
      </w:r>
      <w:r w:rsidR="006336BB" w:rsidRPr="00DD1F9A">
        <w:rPr>
          <w:rFonts w:asciiTheme="majorBidi" w:hAnsiTheme="majorBidi" w:cstheme="majorBidi"/>
          <w:bCs/>
          <w:lang w:val="en-GB"/>
        </w:rPr>
        <w:t>;</w:t>
      </w:r>
      <w:r w:rsidR="00E3579E" w:rsidRPr="00DD1F9A">
        <w:rPr>
          <w:rFonts w:asciiTheme="majorBidi" w:hAnsiTheme="majorBidi" w:cstheme="majorBidi"/>
          <w:bCs/>
          <w:lang w:val="en-GB"/>
        </w:rPr>
        <w:t xml:space="preserve"> and</w:t>
      </w:r>
      <w:r w:rsidR="007D5C05" w:rsidRPr="00DD1F9A">
        <w:rPr>
          <w:rFonts w:asciiTheme="majorBidi" w:hAnsiTheme="majorBidi" w:cstheme="majorBidi"/>
          <w:bCs/>
          <w:lang w:val="en-GB"/>
        </w:rPr>
        <w:t xml:space="preserve"> improving skills, design and conduct of research</w:t>
      </w:r>
      <w:r w:rsidR="00E3579E" w:rsidRPr="00DD1F9A">
        <w:rPr>
          <w:rFonts w:asciiTheme="majorBidi" w:hAnsiTheme="majorBidi" w:cstheme="majorBidi"/>
          <w:bCs/>
          <w:lang w:val="en-GB"/>
        </w:rPr>
        <w:t xml:space="preserve">. </w:t>
      </w:r>
      <w:r w:rsidR="00DD1F9A" w:rsidRPr="00DD1F9A">
        <w:rPr>
          <w:rFonts w:asciiTheme="majorBidi" w:hAnsiTheme="majorBidi" w:cstheme="majorBidi"/>
          <w:bCs/>
        </w:rPr>
        <w:t xml:space="preserve">The report makes an overarching recommendation to the LPI to develop guidelines for the development of curricula </w:t>
      </w:r>
      <w:r w:rsidR="00B43DEF">
        <w:rPr>
          <w:rFonts w:asciiTheme="majorBidi" w:hAnsiTheme="majorBidi" w:cstheme="majorBidi"/>
          <w:bCs/>
        </w:rPr>
        <w:t xml:space="preserve">on land </w:t>
      </w:r>
      <w:r w:rsidR="0086637C">
        <w:rPr>
          <w:rFonts w:asciiTheme="majorBidi" w:hAnsiTheme="majorBidi" w:cstheme="majorBidi"/>
          <w:bCs/>
        </w:rPr>
        <w:t>governance</w:t>
      </w:r>
      <w:r w:rsidR="00B43DEF">
        <w:rPr>
          <w:rFonts w:asciiTheme="majorBidi" w:hAnsiTheme="majorBidi" w:cstheme="majorBidi"/>
          <w:bCs/>
        </w:rPr>
        <w:t xml:space="preserve"> </w:t>
      </w:r>
      <w:r w:rsidR="00DD1F9A" w:rsidRPr="00DD1F9A">
        <w:rPr>
          <w:rFonts w:asciiTheme="majorBidi" w:hAnsiTheme="majorBidi" w:cstheme="majorBidi"/>
          <w:bCs/>
        </w:rPr>
        <w:t>in Africa to expedite changes needed in curricula as well as modalities for training, research and networking among institutions of higher learning.</w:t>
      </w:r>
    </w:p>
    <w:p w:rsidR="007332C1" w:rsidRDefault="007332C1" w:rsidP="00976670">
      <w:pPr>
        <w:jc w:val="both"/>
        <w:rPr>
          <w:rFonts w:asciiTheme="majorBidi" w:hAnsiTheme="majorBidi" w:cstheme="majorBidi"/>
          <w:b/>
          <w:bCs/>
          <w:i/>
        </w:rPr>
      </w:pPr>
    </w:p>
    <w:p w:rsidR="00C86BE5" w:rsidRDefault="00374412" w:rsidP="007332C1">
      <w:pPr>
        <w:pStyle w:val="ListParagraph"/>
        <w:numPr>
          <w:ilvl w:val="0"/>
          <w:numId w:val="20"/>
        </w:numPr>
        <w:ind w:left="0"/>
        <w:jc w:val="both"/>
        <w:rPr>
          <w:rFonts w:asciiTheme="majorBidi" w:hAnsiTheme="majorBidi" w:cstheme="majorBidi"/>
          <w:bCs/>
        </w:rPr>
      </w:pPr>
      <w:r w:rsidRPr="007332C1">
        <w:rPr>
          <w:rFonts w:asciiTheme="majorBidi" w:hAnsiTheme="majorBidi" w:cstheme="majorBidi"/>
          <w:b/>
          <w:bCs/>
          <w:i/>
        </w:rPr>
        <w:t xml:space="preserve">Guidelines for development of curricula on land governance developed: </w:t>
      </w:r>
      <w:r w:rsidR="00DE105C" w:rsidRPr="00DE105C">
        <w:rPr>
          <w:rFonts w:asciiTheme="majorBidi" w:hAnsiTheme="majorBidi" w:cstheme="majorBidi"/>
          <w:bCs/>
        </w:rPr>
        <w:t>In view of the recommendation above,</w:t>
      </w:r>
      <w:r w:rsidR="00DE105C">
        <w:rPr>
          <w:rFonts w:asciiTheme="majorBidi" w:hAnsiTheme="majorBidi" w:cstheme="majorBidi"/>
          <w:b/>
          <w:bCs/>
          <w:i/>
        </w:rPr>
        <w:t xml:space="preserve"> </w:t>
      </w:r>
      <w:r w:rsidR="006336BB" w:rsidRPr="007332C1">
        <w:rPr>
          <w:rFonts w:asciiTheme="majorBidi" w:hAnsiTheme="majorBidi" w:cstheme="majorBidi"/>
          <w:bCs/>
        </w:rPr>
        <w:t>the LPI develop guidelines for endorsement and use by institutio</w:t>
      </w:r>
      <w:r w:rsidR="003522D9">
        <w:rPr>
          <w:rFonts w:asciiTheme="majorBidi" w:hAnsiTheme="majorBidi" w:cstheme="majorBidi"/>
          <w:bCs/>
        </w:rPr>
        <w:t>ns of higher learning in Africa. T</w:t>
      </w:r>
      <w:r w:rsidR="006336BB" w:rsidRPr="007332C1">
        <w:rPr>
          <w:rFonts w:asciiTheme="majorBidi" w:hAnsiTheme="majorBidi" w:cstheme="majorBidi"/>
          <w:bCs/>
        </w:rPr>
        <w:t xml:space="preserve">he </w:t>
      </w:r>
      <w:r w:rsidR="00605260">
        <w:rPr>
          <w:rFonts w:asciiTheme="majorBidi" w:hAnsiTheme="majorBidi" w:cstheme="majorBidi"/>
          <w:bCs/>
        </w:rPr>
        <w:t xml:space="preserve">structure of </w:t>
      </w:r>
      <w:r w:rsidR="006336BB" w:rsidRPr="007332C1">
        <w:rPr>
          <w:rFonts w:asciiTheme="majorBidi" w:hAnsiTheme="majorBidi" w:cstheme="majorBidi"/>
          <w:bCs/>
          <w:i/>
        </w:rPr>
        <w:t xml:space="preserve">Guidelines for the Development of Curriculum on Land Governance in Africa </w:t>
      </w:r>
      <w:r w:rsidR="00605260">
        <w:rPr>
          <w:rFonts w:asciiTheme="majorBidi" w:hAnsiTheme="majorBidi" w:cstheme="majorBidi"/>
          <w:bCs/>
        </w:rPr>
        <w:t>is presented here below</w:t>
      </w:r>
      <w:r w:rsidR="006336BB" w:rsidRPr="007332C1">
        <w:rPr>
          <w:rFonts w:asciiTheme="majorBidi" w:hAnsiTheme="majorBidi" w:cstheme="majorBidi"/>
          <w:bCs/>
        </w:rPr>
        <w:t xml:space="preserve">.  </w:t>
      </w:r>
    </w:p>
    <w:p w:rsidR="00FA2CD8" w:rsidRPr="00FA2CD8" w:rsidRDefault="00FA2CD8" w:rsidP="00FA2CD8">
      <w:pPr>
        <w:pStyle w:val="ListParagraph"/>
        <w:rPr>
          <w:rFonts w:asciiTheme="majorBidi" w:hAnsiTheme="majorBidi" w:cstheme="majorBidi"/>
          <w:bCs/>
        </w:rPr>
      </w:pPr>
    </w:p>
    <w:p w:rsidR="00FA2CD8" w:rsidRDefault="00605260" w:rsidP="00FA2CD8">
      <w:pPr>
        <w:pStyle w:val="ListParagraph"/>
        <w:ind w:left="0"/>
        <w:jc w:val="both"/>
        <w:rPr>
          <w:rFonts w:asciiTheme="majorBidi" w:hAnsiTheme="majorBidi" w:cstheme="majorBidi"/>
          <w:b/>
          <w:bCs/>
          <w:i/>
        </w:rPr>
      </w:pPr>
      <w:r>
        <w:rPr>
          <w:rFonts w:asciiTheme="majorBidi" w:hAnsiTheme="majorBidi" w:cstheme="majorBidi"/>
          <w:b/>
          <w:bCs/>
        </w:rPr>
        <w:t>Table2. Structure-</w:t>
      </w:r>
      <w:r w:rsidR="00520D1F" w:rsidRPr="00520D1F">
        <w:rPr>
          <w:rFonts w:asciiTheme="majorBidi" w:hAnsiTheme="majorBidi" w:cstheme="majorBidi"/>
          <w:b/>
          <w:bCs/>
          <w:i/>
        </w:rPr>
        <w:t xml:space="preserve">Guidelines </w:t>
      </w:r>
      <w:r w:rsidR="00520D1F">
        <w:rPr>
          <w:rFonts w:asciiTheme="majorBidi" w:hAnsiTheme="majorBidi" w:cstheme="majorBidi"/>
          <w:b/>
          <w:bCs/>
          <w:i/>
        </w:rPr>
        <w:t>f</w:t>
      </w:r>
      <w:r>
        <w:rPr>
          <w:rFonts w:asciiTheme="majorBidi" w:hAnsiTheme="majorBidi" w:cstheme="majorBidi"/>
          <w:b/>
          <w:bCs/>
          <w:i/>
        </w:rPr>
        <w:t>or t</w:t>
      </w:r>
      <w:r w:rsidR="00520D1F" w:rsidRPr="00520D1F">
        <w:rPr>
          <w:rFonts w:asciiTheme="majorBidi" w:hAnsiTheme="majorBidi" w:cstheme="majorBidi"/>
          <w:b/>
          <w:bCs/>
          <w:i/>
        </w:rPr>
        <w:t>he Development Of Curricula On Land Governance In Africa</w:t>
      </w:r>
    </w:p>
    <w:p w:rsidR="00520D1F" w:rsidRPr="00520D1F" w:rsidRDefault="00520D1F" w:rsidP="00FA2CD8">
      <w:pPr>
        <w:pStyle w:val="ListParagraph"/>
        <w:ind w:left="0"/>
        <w:jc w:val="both"/>
        <w:rPr>
          <w:rFonts w:asciiTheme="majorBidi" w:hAnsiTheme="majorBidi" w:cstheme="majorBidi"/>
          <w:b/>
          <w:bCs/>
          <w:i/>
        </w:rPr>
      </w:pPr>
    </w:p>
    <w:tbl>
      <w:tblPr>
        <w:tblW w:w="7380" w:type="dxa"/>
        <w:tblInd w:w="1306" w:type="dxa"/>
        <w:tblLayout w:type="fixed"/>
        <w:tblCellMar>
          <w:left w:w="0" w:type="dxa"/>
          <w:right w:w="0" w:type="dxa"/>
        </w:tblCellMar>
        <w:tblLook w:val="0420" w:firstRow="1" w:lastRow="0" w:firstColumn="0" w:lastColumn="0" w:noHBand="0" w:noVBand="1"/>
      </w:tblPr>
      <w:tblGrid>
        <w:gridCol w:w="497"/>
        <w:gridCol w:w="4273"/>
        <w:gridCol w:w="2610"/>
      </w:tblGrid>
      <w:tr w:rsidR="00FA2CD8" w:rsidRPr="00FA2CD8" w:rsidTr="00FA2CD8">
        <w:trPr>
          <w:trHeight w:hRule="exact" w:val="432"/>
        </w:trPr>
        <w:tc>
          <w:tcPr>
            <w:tcW w:w="4770" w:type="dxa"/>
            <w:gridSpan w:val="2"/>
            <w:tcBorders>
              <w:top w:val="single" w:sz="8" w:space="0" w:color="000000"/>
              <w:left w:val="single" w:sz="8" w:space="0" w:color="000000"/>
              <w:bottom w:val="single" w:sz="8" w:space="0" w:color="000000"/>
              <w:right w:val="single" w:sz="8" w:space="0" w:color="000000"/>
            </w:tcBorders>
            <w:shd w:val="clear" w:color="auto" w:fill="9CC2E5"/>
            <w:tcMar>
              <w:top w:w="68" w:type="dxa"/>
              <w:left w:w="136" w:type="dxa"/>
              <w:bottom w:w="68" w:type="dxa"/>
              <w:right w:w="136" w:type="dxa"/>
            </w:tcMar>
            <w:hideMark/>
          </w:tcPr>
          <w:p w:rsidR="00FA2CD8" w:rsidRPr="00FA2CD8" w:rsidRDefault="00FA2CD8" w:rsidP="00FA2CD8">
            <w:pPr>
              <w:spacing w:after="160" w:line="256" w:lineRule="auto"/>
              <w:jc w:val="center"/>
              <w:rPr>
                <w:sz w:val="22"/>
                <w:szCs w:val="22"/>
              </w:rPr>
            </w:pPr>
            <w:r w:rsidRPr="00FA2CD8">
              <w:rPr>
                <w:rFonts w:eastAsia="Calibri"/>
                <w:b/>
                <w:bCs/>
                <w:color w:val="000000" w:themeColor="text1"/>
                <w:kern w:val="24"/>
                <w:sz w:val="22"/>
                <w:szCs w:val="22"/>
                <w:lang w:val="en-GB"/>
              </w:rPr>
              <w:t>Chapter</w:t>
            </w:r>
          </w:p>
        </w:tc>
        <w:tc>
          <w:tcPr>
            <w:tcW w:w="2610" w:type="dxa"/>
            <w:tcBorders>
              <w:top w:val="single" w:sz="8" w:space="0" w:color="000000"/>
              <w:left w:val="single" w:sz="8" w:space="0" w:color="000000"/>
              <w:bottom w:val="single" w:sz="8" w:space="0" w:color="000000"/>
              <w:right w:val="single" w:sz="8" w:space="0" w:color="000000"/>
            </w:tcBorders>
            <w:shd w:val="clear" w:color="auto" w:fill="9CC2E5"/>
            <w:tcMar>
              <w:top w:w="68" w:type="dxa"/>
              <w:left w:w="136" w:type="dxa"/>
              <w:bottom w:w="68" w:type="dxa"/>
              <w:right w:w="136" w:type="dxa"/>
            </w:tcMar>
            <w:hideMark/>
          </w:tcPr>
          <w:p w:rsidR="00FA2CD8" w:rsidRPr="00FA2CD8" w:rsidRDefault="00D80A92" w:rsidP="00D80A92">
            <w:pPr>
              <w:spacing w:after="160" w:line="256" w:lineRule="auto"/>
              <w:rPr>
                <w:sz w:val="22"/>
                <w:szCs w:val="22"/>
              </w:rPr>
            </w:pPr>
            <w:r>
              <w:rPr>
                <w:rFonts w:eastAsia="Calibri"/>
                <w:b/>
                <w:bCs/>
                <w:color w:val="000000" w:themeColor="text1"/>
                <w:kern w:val="24"/>
                <w:sz w:val="22"/>
                <w:szCs w:val="22"/>
                <w:lang w:val="en-GB"/>
              </w:rPr>
              <w:t>Guideline</w:t>
            </w:r>
            <w:r w:rsidR="00FA2CD8" w:rsidRPr="00FA2CD8">
              <w:rPr>
                <w:rFonts w:eastAsia="Calibri"/>
                <w:b/>
                <w:bCs/>
                <w:color w:val="000000" w:themeColor="text1"/>
                <w:kern w:val="24"/>
                <w:sz w:val="22"/>
                <w:szCs w:val="22"/>
                <w:lang w:val="en-GB"/>
              </w:rPr>
              <w:t>s</w:t>
            </w:r>
          </w:p>
        </w:tc>
      </w:tr>
      <w:tr w:rsidR="00FA2CD8" w:rsidRPr="00FA2CD8" w:rsidTr="00605260">
        <w:trPr>
          <w:trHeight w:hRule="exact" w:val="360"/>
        </w:trPr>
        <w:tc>
          <w:tcPr>
            <w:tcW w:w="49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1.</w:t>
            </w:r>
          </w:p>
        </w:tc>
        <w:tc>
          <w:tcPr>
            <w:tcW w:w="4273"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Introduction</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rPr>
                <w:sz w:val="22"/>
                <w:szCs w:val="22"/>
              </w:rPr>
            </w:pPr>
          </w:p>
        </w:tc>
      </w:tr>
      <w:tr w:rsidR="00FA2CD8" w:rsidRPr="00FA2CD8" w:rsidTr="00605260">
        <w:trPr>
          <w:trHeight w:hRule="exact" w:val="360"/>
        </w:trPr>
        <w:tc>
          <w:tcPr>
            <w:tcW w:w="49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2.</w:t>
            </w:r>
          </w:p>
        </w:tc>
        <w:tc>
          <w:tcPr>
            <w:tcW w:w="4273"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Evolution of Land Governance in Africa</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Guideline 1</w:t>
            </w:r>
          </w:p>
        </w:tc>
      </w:tr>
      <w:tr w:rsidR="00FA2CD8" w:rsidRPr="00FA2CD8" w:rsidTr="00605260">
        <w:trPr>
          <w:trHeight w:hRule="exact" w:val="360"/>
        </w:trPr>
        <w:tc>
          <w:tcPr>
            <w:tcW w:w="49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3.</w:t>
            </w:r>
          </w:p>
        </w:tc>
        <w:tc>
          <w:tcPr>
            <w:tcW w:w="4273"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Industry and Programs</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Guideline 2</w:t>
            </w:r>
          </w:p>
        </w:tc>
      </w:tr>
      <w:tr w:rsidR="00FA2CD8" w:rsidRPr="00FA2CD8" w:rsidTr="00605260">
        <w:trPr>
          <w:trHeight w:hRule="exact" w:val="360"/>
        </w:trPr>
        <w:tc>
          <w:tcPr>
            <w:tcW w:w="49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4.</w:t>
            </w:r>
          </w:p>
        </w:tc>
        <w:tc>
          <w:tcPr>
            <w:tcW w:w="4273"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Land Governance in Rural Areas</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Guidelines 3,4,5,6</w:t>
            </w:r>
          </w:p>
        </w:tc>
      </w:tr>
      <w:tr w:rsidR="00FA2CD8" w:rsidRPr="00FA2CD8" w:rsidTr="00605260">
        <w:trPr>
          <w:trHeight w:hRule="exact" w:val="360"/>
        </w:trPr>
        <w:tc>
          <w:tcPr>
            <w:tcW w:w="49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5.</w:t>
            </w:r>
          </w:p>
        </w:tc>
        <w:tc>
          <w:tcPr>
            <w:tcW w:w="4273"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Urban and Peri-Urban Areas</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Guidelines 7,8</w:t>
            </w:r>
          </w:p>
        </w:tc>
      </w:tr>
      <w:tr w:rsidR="00FA2CD8" w:rsidRPr="00FA2CD8" w:rsidTr="00605260">
        <w:trPr>
          <w:trHeight w:hRule="exact" w:val="360"/>
        </w:trPr>
        <w:tc>
          <w:tcPr>
            <w:tcW w:w="49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6.</w:t>
            </w:r>
          </w:p>
        </w:tc>
        <w:tc>
          <w:tcPr>
            <w:tcW w:w="4273"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Women’s Land Rights</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Guidelines 9,10</w:t>
            </w:r>
          </w:p>
        </w:tc>
      </w:tr>
      <w:tr w:rsidR="00FA2CD8" w:rsidRPr="00FA2CD8" w:rsidTr="00605260">
        <w:trPr>
          <w:trHeight w:hRule="exact" w:val="360"/>
        </w:trPr>
        <w:tc>
          <w:tcPr>
            <w:tcW w:w="49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7.</w:t>
            </w:r>
          </w:p>
        </w:tc>
        <w:tc>
          <w:tcPr>
            <w:tcW w:w="4273"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Environment and Climate Change</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Guidelines 11,12,13</w:t>
            </w:r>
          </w:p>
        </w:tc>
      </w:tr>
      <w:tr w:rsidR="00FA2CD8" w:rsidRPr="00FA2CD8" w:rsidTr="00605260">
        <w:trPr>
          <w:trHeight w:hRule="exact" w:val="360"/>
        </w:trPr>
        <w:tc>
          <w:tcPr>
            <w:tcW w:w="49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8.</w:t>
            </w:r>
          </w:p>
        </w:tc>
        <w:tc>
          <w:tcPr>
            <w:tcW w:w="4273"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Conflicts and Land Governance</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Guidelines 14,15,16,17</w:t>
            </w:r>
          </w:p>
        </w:tc>
      </w:tr>
      <w:tr w:rsidR="00FA2CD8" w:rsidRPr="00FA2CD8" w:rsidTr="00605260">
        <w:trPr>
          <w:trHeight w:hRule="exact" w:val="360"/>
        </w:trPr>
        <w:tc>
          <w:tcPr>
            <w:tcW w:w="49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9.</w:t>
            </w:r>
          </w:p>
        </w:tc>
        <w:tc>
          <w:tcPr>
            <w:tcW w:w="4273"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Land Tenure and Property Rights</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Guidelines 18,19,20</w:t>
            </w:r>
          </w:p>
        </w:tc>
      </w:tr>
      <w:tr w:rsidR="00FA2CD8" w:rsidRPr="00FA2CD8" w:rsidTr="00605260">
        <w:trPr>
          <w:trHeight w:hRule="exact" w:val="360"/>
        </w:trPr>
        <w:tc>
          <w:tcPr>
            <w:tcW w:w="49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10.</w:t>
            </w:r>
          </w:p>
        </w:tc>
        <w:tc>
          <w:tcPr>
            <w:tcW w:w="4273"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Research and Innovation</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Guidelines 22,23,24,25,26</w:t>
            </w:r>
          </w:p>
        </w:tc>
      </w:tr>
      <w:tr w:rsidR="00FA2CD8" w:rsidRPr="00FA2CD8" w:rsidTr="00605260">
        <w:trPr>
          <w:trHeight w:hRule="exact" w:val="360"/>
        </w:trPr>
        <w:tc>
          <w:tcPr>
            <w:tcW w:w="49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11.</w:t>
            </w:r>
          </w:p>
        </w:tc>
        <w:tc>
          <w:tcPr>
            <w:tcW w:w="4273"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spacing w:after="160" w:line="256" w:lineRule="auto"/>
              <w:rPr>
                <w:sz w:val="22"/>
                <w:szCs w:val="22"/>
              </w:rPr>
            </w:pPr>
            <w:r w:rsidRPr="00FA2CD8">
              <w:rPr>
                <w:rFonts w:eastAsia="Calibri"/>
                <w:color w:val="000000" w:themeColor="text1"/>
                <w:kern w:val="24"/>
                <w:sz w:val="22"/>
                <w:szCs w:val="22"/>
                <w:lang w:val="en-GB"/>
              </w:rPr>
              <w:t>Operationalizing the Guidelines</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hideMark/>
          </w:tcPr>
          <w:p w:rsidR="00FA2CD8" w:rsidRPr="00FA2CD8" w:rsidRDefault="00FA2CD8" w:rsidP="00FA2CD8">
            <w:pPr>
              <w:rPr>
                <w:sz w:val="22"/>
                <w:szCs w:val="22"/>
              </w:rPr>
            </w:pPr>
          </w:p>
        </w:tc>
      </w:tr>
    </w:tbl>
    <w:p w:rsidR="00C86BE5" w:rsidRPr="00FA2CD8" w:rsidRDefault="00C86BE5" w:rsidP="00976670">
      <w:pPr>
        <w:jc w:val="both"/>
        <w:rPr>
          <w:rFonts w:asciiTheme="majorBidi" w:hAnsiTheme="majorBidi" w:cstheme="majorBidi"/>
          <w:bCs/>
          <w:sz w:val="18"/>
          <w:szCs w:val="18"/>
        </w:rPr>
      </w:pPr>
    </w:p>
    <w:p w:rsidR="00843827" w:rsidRPr="007332C1" w:rsidRDefault="00D2579D" w:rsidP="007332C1">
      <w:pPr>
        <w:pStyle w:val="ListParagraph"/>
        <w:numPr>
          <w:ilvl w:val="0"/>
          <w:numId w:val="20"/>
        </w:numPr>
        <w:ind w:left="0"/>
        <w:jc w:val="both"/>
        <w:rPr>
          <w:rFonts w:asciiTheme="majorBidi" w:hAnsiTheme="majorBidi" w:cstheme="majorBidi"/>
          <w:b/>
          <w:bCs/>
        </w:rPr>
      </w:pPr>
      <w:r w:rsidRPr="007332C1">
        <w:rPr>
          <w:rFonts w:asciiTheme="majorBidi" w:hAnsiTheme="majorBidi" w:cstheme="majorBidi"/>
          <w:b/>
          <w:bCs/>
          <w:i/>
        </w:rPr>
        <w:t xml:space="preserve">A </w:t>
      </w:r>
      <w:r w:rsidR="00C871C0" w:rsidRPr="007332C1">
        <w:rPr>
          <w:rFonts w:asciiTheme="majorBidi" w:hAnsiTheme="majorBidi" w:cstheme="majorBidi"/>
          <w:b/>
          <w:bCs/>
          <w:i/>
        </w:rPr>
        <w:t>Network of Excellence on Land Governance (</w:t>
      </w:r>
      <w:r w:rsidR="00843827" w:rsidRPr="007332C1">
        <w:rPr>
          <w:rFonts w:asciiTheme="majorBidi" w:hAnsiTheme="majorBidi" w:cstheme="majorBidi"/>
          <w:b/>
          <w:bCs/>
          <w:i/>
        </w:rPr>
        <w:t>NELGA</w:t>
      </w:r>
      <w:r w:rsidR="00374412" w:rsidRPr="007332C1">
        <w:rPr>
          <w:rFonts w:asciiTheme="majorBidi" w:hAnsiTheme="majorBidi" w:cstheme="majorBidi"/>
          <w:b/>
          <w:bCs/>
          <w:i/>
        </w:rPr>
        <w:t>)</w:t>
      </w:r>
      <w:r w:rsidRPr="007332C1">
        <w:rPr>
          <w:rFonts w:asciiTheme="majorBidi" w:hAnsiTheme="majorBidi" w:cstheme="majorBidi"/>
          <w:b/>
          <w:bCs/>
          <w:i/>
        </w:rPr>
        <w:t xml:space="preserve"> established</w:t>
      </w:r>
      <w:r w:rsidR="00374412" w:rsidRPr="007332C1">
        <w:rPr>
          <w:rFonts w:asciiTheme="majorBidi" w:hAnsiTheme="majorBidi" w:cstheme="majorBidi"/>
          <w:b/>
          <w:bCs/>
          <w:i/>
        </w:rPr>
        <w:t xml:space="preserve">: </w:t>
      </w:r>
      <w:r w:rsidR="00843827" w:rsidRPr="007332C1">
        <w:rPr>
          <w:rFonts w:asciiTheme="majorBidi" w:hAnsiTheme="majorBidi" w:cstheme="majorBidi"/>
          <w:bCs/>
        </w:rPr>
        <w:t xml:space="preserve">The LPI </w:t>
      </w:r>
      <w:r w:rsidR="00E06E31" w:rsidRPr="007332C1">
        <w:rPr>
          <w:rFonts w:asciiTheme="majorBidi" w:hAnsiTheme="majorBidi" w:cstheme="majorBidi"/>
          <w:bCs/>
        </w:rPr>
        <w:t>conducted several key activities culminating in the esta</w:t>
      </w:r>
      <w:r w:rsidR="00B43DEF">
        <w:rPr>
          <w:rFonts w:asciiTheme="majorBidi" w:hAnsiTheme="majorBidi" w:cstheme="majorBidi"/>
          <w:bCs/>
        </w:rPr>
        <w:t>b</w:t>
      </w:r>
      <w:r w:rsidR="00E06E31" w:rsidRPr="007332C1">
        <w:rPr>
          <w:rFonts w:asciiTheme="majorBidi" w:hAnsiTheme="majorBidi" w:cstheme="majorBidi"/>
          <w:bCs/>
        </w:rPr>
        <w:t xml:space="preserve">lishment of NELGA as follows: i) convening of institutions of higher learning and research to validate a roadmap for the establishment of NELGA; ii) </w:t>
      </w:r>
      <w:r w:rsidR="00843827" w:rsidRPr="007332C1">
        <w:rPr>
          <w:rFonts w:asciiTheme="majorBidi" w:hAnsiTheme="majorBidi" w:cstheme="majorBidi"/>
          <w:bCs/>
        </w:rPr>
        <w:t>a comprehensive mapping of institutions of higher learning</w:t>
      </w:r>
      <w:r w:rsidR="0021209C" w:rsidRPr="007332C1">
        <w:rPr>
          <w:rFonts w:asciiTheme="majorBidi" w:hAnsiTheme="majorBidi" w:cstheme="majorBidi"/>
          <w:bCs/>
        </w:rPr>
        <w:t xml:space="preserve"> conducting training and</w:t>
      </w:r>
      <w:r w:rsidR="00F45738">
        <w:rPr>
          <w:rFonts w:asciiTheme="majorBidi" w:hAnsiTheme="majorBidi" w:cstheme="majorBidi"/>
          <w:bCs/>
        </w:rPr>
        <w:t xml:space="preserve"> research on</w:t>
      </w:r>
      <w:r w:rsidR="0021209C" w:rsidRPr="007332C1">
        <w:rPr>
          <w:rFonts w:asciiTheme="majorBidi" w:hAnsiTheme="majorBidi" w:cstheme="majorBidi"/>
          <w:bCs/>
        </w:rPr>
        <w:t xml:space="preserve"> land governance; ii</w:t>
      </w:r>
      <w:r w:rsidR="00FD374D" w:rsidRPr="007332C1">
        <w:rPr>
          <w:rFonts w:asciiTheme="majorBidi" w:hAnsiTheme="majorBidi" w:cstheme="majorBidi"/>
          <w:bCs/>
        </w:rPr>
        <w:t>i</w:t>
      </w:r>
      <w:r w:rsidR="0021209C" w:rsidRPr="007332C1">
        <w:rPr>
          <w:rFonts w:asciiTheme="majorBidi" w:hAnsiTheme="majorBidi" w:cstheme="majorBidi"/>
          <w:bCs/>
        </w:rPr>
        <w:t>)</w:t>
      </w:r>
      <w:r w:rsidR="00843827" w:rsidRPr="007332C1">
        <w:rPr>
          <w:rFonts w:asciiTheme="majorBidi" w:hAnsiTheme="majorBidi" w:cstheme="majorBidi"/>
          <w:bCs/>
        </w:rPr>
        <w:t xml:space="preserve"> select</w:t>
      </w:r>
      <w:r w:rsidR="005817E8" w:rsidRPr="007332C1">
        <w:rPr>
          <w:rFonts w:asciiTheme="majorBidi" w:hAnsiTheme="majorBidi" w:cstheme="majorBidi"/>
          <w:bCs/>
        </w:rPr>
        <w:t>ion</w:t>
      </w:r>
      <w:r w:rsidR="00843827" w:rsidRPr="007332C1">
        <w:rPr>
          <w:rFonts w:asciiTheme="majorBidi" w:hAnsiTheme="majorBidi" w:cstheme="majorBidi"/>
          <w:bCs/>
        </w:rPr>
        <w:t xml:space="preserve"> </w:t>
      </w:r>
      <w:r w:rsidR="0021209C" w:rsidRPr="007332C1">
        <w:rPr>
          <w:rFonts w:asciiTheme="majorBidi" w:hAnsiTheme="majorBidi" w:cstheme="majorBidi"/>
          <w:bCs/>
        </w:rPr>
        <w:t>and validat</w:t>
      </w:r>
      <w:r w:rsidR="005817E8" w:rsidRPr="007332C1">
        <w:rPr>
          <w:rFonts w:asciiTheme="majorBidi" w:hAnsiTheme="majorBidi" w:cstheme="majorBidi"/>
          <w:bCs/>
        </w:rPr>
        <w:t>ion of</w:t>
      </w:r>
      <w:r w:rsidR="0021209C" w:rsidRPr="007332C1">
        <w:rPr>
          <w:rFonts w:asciiTheme="majorBidi" w:hAnsiTheme="majorBidi" w:cstheme="majorBidi"/>
          <w:bCs/>
        </w:rPr>
        <w:t xml:space="preserve"> five </w:t>
      </w:r>
      <w:r w:rsidR="00843827" w:rsidRPr="007332C1">
        <w:rPr>
          <w:rFonts w:asciiTheme="majorBidi" w:hAnsiTheme="majorBidi" w:cstheme="majorBidi"/>
          <w:bCs/>
        </w:rPr>
        <w:t xml:space="preserve">regional nodes of NELGA </w:t>
      </w:r>
      <w:r w:rsidR="00F45738">
        <w:rPr>
          <w:rFonts w:asciiTheme="majorBidi" w:hAnsiTheme="majorBidi" w:cstheme="majorBidi"/>
          <w:bCs/>
        </w:rPr>
        <w:t>including</w:t>
      </w:r>
      <w:r w:rsidR="00843827" w:rsidRPr="007332C1">
        <w:rPr>
          <w:rFonts w:asciiTheme="majorBidi" w:hAnsiTheme="majorBidi" w:cstheme="majorBidi"/>
          <w:bCs/>
        </w:rPr>
        <w:t xml:space="preserve">: </w:t>
      </w:r>
      <w:r w:rsidR="0021209C" w:rsidRPr="007332C1">
        <w:rPr>
          <w:rFonts w:asciiTheme="majorBidi" w:hAnsiTheme="majorBidi" w:cstheme="majorBidi"/>
          <w:bCs/>
        </w:rPr>
        <w:t xml:space="preserve">Central </w:t>
      </w:r>
      <w:r w:rsidR="0021209C" w:rsidRPr="007332C1">
        <w:rPr>
          <w:rFonts w:asciiTheme="majorBidi" w:hAnsiTheme="majorBidi" w:cstheme="majorBidi"/>
          <w:bCs/>
        </w:rPr>
        <w:lastRenderedPageBreak/>
        <w:t>Africa (</w:t>
      </w:r>
      <w:r w:rsidR="00AE0DF0" w:rsidRPr="007332C1">
        <w:rPr>
          <w:rFonts w:asciiTheme="majorBidi" w:hAnsiTheme="majorBidi" w:cstheme="majorBidi"/>
          <w:bCs/>
        </w:rPr>
        <w:t>Yaoundé</w:t>
      </w:r>
      <w:r w:rsidR="0021209C" w:rsidRPr="007332C1">
        <w:rPr>
          <w:rFonts w:asciiTheme="majorBidi" w:hAnsiTheme="majorBidi" w:cstheme="majorBidi"/>
          <w:bCs/>
        </w:rPr>
        <w:t xml:space="preserve"> 1 University, Cameroun); Eastern Africa (Ardhi University, Tanzania); Northern Africa (Institut Agronomique et Veterinaire Hassan II, </w:t>
      </w:r>
      <w:r w:rsidR="00781FAD" w:rsidRPr="007332C1">
        <w:rPr>
          <w:rFonts w:asciiTheme="majorBidi" w:hAnsiTheme="majorBidi" w:cstheme="majorBidi"/>
          <w:bCs/>
        </w:rPr>
        <w:t>Morocco</w:t>
      </w:r>
      <w:r w:rsidR="0021209C" w:rsidRPr="007332C1">
        <w:rPr>
          <w:rFonts w:asciiTheme="majorBidi" w:hAnsiTheme="majorBidi" w:cstheme="majorBidi"/>
          <w:bCs/>
        </w:rPr>
        <w:t>); Southern Africa (Namibia University of Science and Technology, Namibia); and West Africa (Kwame Nkrumah University of Science and Technology, Ghana)</w:t>
      </w:r>
      <w:r w:rsidR="00FD374D" w:rsidRPr="007332C1">
        <w:rPr>
          <w:rFonts w:asciiTheme="majorBidi" w:hAnsiTheme="majorBidi" w:cstheme="majorBidi"/>
          <w:bCs/>
        </w:rPr>
        <w:t>; iv</w:t>
      </w:r>
      <w:r w:rsidR="00E06E31" w:rsidRPr="007332C1">
        <w:rPr>
          <w:rFonts w:asciiTheme="majorBidi" w:hAnsiTheme="majorBidi" w:cstheme="majorBidi"/>
          <w:bCs/>
        </w:rPr>
        <w:t xml:space="preserve">) </w:t>
      </w:r>
      <w:r w:rsidR="007D452B" w:rsidRPr="007332C1">
        <w:rPr>
          <w:rFonts w:asciiTheme="majorBidi" w:hAnsiTheme="majorBidi" w:cstheme="majorBidi"/>
          <w:bCs/>
        </w:rPr>
        <w:t>assessment of capacity gaps of the regional nodes to establish</w:t>
      </w:r>
      <w:r w:rsidR="00FD374D" w:rsidRPr="007332C1">
        <w:rPr>
          <w:rFonts w:asciiTheme="majorBidi" w:hAnsiTheme="majorBidi" w:cstheme="majorBidi"/>
          <w:bCs/>
        </w:rPr>
        <w:t xml:space="preserve"> </w:t>
      </w:r>
      <w:r w:rsidR="00F45738">
        <w:rPr>
          <w:rFonts w:asciiTheme="majorBidi" w:hAnsiTheme="majorBidi" w:cstheme="majorBidi"/>
          <w:bCs/>
        </w:rPr>
        <w:t>gaps</w:t>
      </w:r>
      <w:r w:rsidR="00FD374D" w:rsidRPr="007332C1">
        <w:rPr>
          <w:rFonts w:asciiTheme="majorBidi" w:hAnsiTheme="majorBidi" w:cstheme="majorBidi"/>
          <w:bCs/>
        </w:rPr>
        <w:t xml:space="preserve">; </w:t>
      </w:r>
      <w:r w:rsidR="007D452B" w:rsidRPr="007332C1">
        <w:rPr>
          <w:rFonts w:asciiTheme="majorBidi" w:hAnsiTheme="majorBidi" w:cstheme="majorBidi"/>
          <w:bCs/>
        </w:rPr>
        <w:t>v) provided technical assistance in the recruitment and induction of Node coordinators.</w:t>
      </w:r>
      <w:r w:rsidR="00FD374D" w:rsidRPr="007332C1">
        <w:rPr>
          <w:rFonts w:asciiTheme="majorBidi" w:hAnsiTheme="majorBidi" w:cstheme="majorBidi"/>
          <w:bCs/>
        </w:rPr>
        <w:t xml:space="preserve"> The LPI is </w:t>
      </w:r>
      <w:r w:rsidR="00F45738">
        <w:rPr>
          <w:rFonts w:asciiTheme="majorBidi" w:hAnsiTheme="majorBidi" w:cstheme="majorBidi"/>
          <w:bCs/>
        </w:rPr>
        <w:t>supporting</w:t>
      </w:r>
      <w:r w:rsidR="00FD374D" w:rsidRPr="007332C1">
        <w:rPr>
          <w:rFonts w:asciiTheme="majorBidi" w:hAnsiTheme="majorBidi" w:cstheme="majorBidi"/>
          <w:bCs/>
        </w:rPr>
        <w:t xml:space="preserve"> develop</w:t>
      </w:r>
      <w:r w:rsidR="00F45738">
        <w:rPr>
          <w:rFonts w:asciiTheme="majorBidi" w:hAnsiTheme="majorBidi" w:cstheme="majorBidi"/>
          <w:bCs/>
        </w:rPr>
        <w:t>ment of</w:t>
      </w:r>
      <w:r w:rsidR="00FD374D" w:rsidRPr="007332C1">
        <w:rPr>
          <w:rFonts w:asciiTheme="majorBidi" w:hAnsiTheme="majorBidi" w:cstheme="majorBidi"/>
          <w:bCs/>
        </w:rPr>
        <w:t xml:space="preserve"> business plans to guide</w:t>
      </w:r>
      <w:r w:rsidR="00F45738">
        <w:rPr>
          <w:rFonts w:asciiTheme="majorBidi" w:hAnsiTheme="majorBidi" w:cstheme="majorBidi"/>
          <w:bCs/>
        </w:rPr>
        <w:t xml:space="preserve"> operations</w:t>
      </w:r>
      <w:r w:rsidR="00FD374D" w:rsidRPr="007332C1">
        <w:rPr>
          <w:rFonts w:asciiTheme="majorBidi" w:hAnsiTheme="majorBidi" w:cstheme="majorBidi"/>
          <w:bCs/>
        </w:rPr>
        <w:t>.</w:t>
      </w:r>
    </w:p>
    <w:p w:rsidR="00843827" w:rsidRDefault="00843827" w:rsidP="00976670">
      <w:pPr>
        <w:jc w:val="both"/>
        <w:rPr>
          <w:rFonts w:asciiTheme="majorBidi" w:hAnsiTheme="majorBidi" w:cstheme="majorBidi"/>
          <w:b/>
          <w:bCs/>
        </w:rPr>
      </w:pPr>
    </w:p>
    <w:p w:rsidR="00411469" w:rsidRPr="00EB264C" w:rsidRDefault="003B4B21" w:rsidP="00964176">
      <w:pPr>
        <w:pStyle w:val="ListParagraph"/>
        <w:numPr>
          <w:ilvl w:val="0"/>
          <w:numId w:val="20"/>
        </w:numPr>
        <w:tabs>
          <w:tab w:val="center" w:pos="270"/>
        </w:tabs>
        <w:ind w:left="0"/>
        <w:jc w:val="both"/>
        <w:rPr>
          <w:rFonts w:asciiTheme="majorBidi" w:hAnsiTheme="majorBidi" w:cstheme="majorBidi"/>
          <w:bCs/>
        </w:rPr>
      </w:pPr>
      <w:r w:rsidRPr="00C92118">
        <w:rPr>
          <w:rFonts w:asciiTheme="majorBidi" w:hAnsiTheme="majorBidi" w:cstheme="majorBidi"/>
          <w:b/>
          <w:bCs/>
          <w:i/>
        </w:rPr>
        <w:t>Development of c</w:t>
      </w:r>
      <w:r w:rsidR="004126ED" w:rsidRPr="00C92118">
        <w:rPr>
          <w:rFonts w:asciiTheme="majorBidi" w:hAnsiTheme="majorBidi" w:cstheme="majorBidi"/>
          <w:b/>
          <w:bCs/>
          <w:i/>
        </w:rPr>
        <w:t>urricula and graduate p</w:t>
      </w:r>
      <w:r w:rsidR="00411469" w:rsidRPr="00C92118">
        <w:rPr>
          <w:rFonts w:asciiTheme="majorBidi" w:hAnsiTheme="majorBidi" w:cstheme="majorBidi"/>
          <w:b/>
          <w:bCs/>
          <w:i/>
        </w:rPr>
        <w:t xml:space="preserve">rogramme on </w:t>
      </w:r>
      <w:r w:rsidR="004126ED" w:rsidRPr="00C92118">
        <w:rPr>
          <w:rFonts w:asciiTheme="majorBidi" w:hAnsiTheme="majorBidi" w:cstheme="majorBidi"/>
          <w:b/>
          <w:bCs/>
          <w:i/>
        </w:rPr>
        <w:t>land g</w:t>
      </w:r>
      <w:r w:rsidR="00411469" w:rsidRPr="00C92118">
        <w:rPr>
          <w:rFonts w:asciiTheme="majorBidi" w:hAnsiTheme="majorBidi" w:cstheme="majorBidi"/>
          <w:b/>
          <w:bCs/>
          <w:i/>
        </w:rPr>
        <w:t>overnance in Africa</w:t>
      </w:r>
      <w:r w:rsidR="00374412" w:rsidRPr="00C92118">
        <w:rPr>
          <w:rFonts w:asciiTheme="majorBidi" w:hAnsiTheme="majorBidi" w:cstheme="majorBidi"/>
          <w:b/>
          <w:bCs/>
          <w:i/>
        </w:rPr>
        <w:t xml:space="preserve"> underway</w:t>
      </w:r>
      <w:r w:rsidR="00781FAD" w:rsidRPr="00C92118">
        <w:rPr>
          <w:rFonts w:asciiTheme="majorBidi" w:hAnsiTheme="majorBidi" w:cstheme="majorBidi"/>
          <w:b/>
          <w:bCs/>
          <w:i/>
        </w:rPr>
        <w:t xml:space="preserve">: </w:t>
      </w:r>
      <w:r w:rsidR="00942FCF" w:rsidRPr="00C92118">
        <w:rPr>
          <w:rFonts w:asciiTheme="majorBidi" w:hAnsiTheme="majorBidi" w:cstheme="majorBidi"/>
          <w:bCs/>
        </w:rPr>
        <w:t xml:space="preserve">In recognition of the limited comprehensive programs </w:t>
      </w:r>
      <w:r w:rsidR="003A26F6" w:rsidRPr="00C92118">
        <w:rPr>
          <w:rFonts w:asciiTheme="majorBidi" w:hAnsiTheme="majorBidi" w:cstheme="majorBidi"/>
          <w:bCs/>
        </w:rPr>
        <w:t>that address Africa’s realities on</w:t>
      </w:r>
      <w:r w:rsidR="00942FCF" w:rsidRPr="00C92118">
        <w:rPr>
          <w:rFonts w:asciiTheme="majorBidi" w:hAnsiTheme="majorBidi" w:cstheme="majorBidi"/>
          <w:bCs/>
        </w:rPr>
        <w:t xml:space="preserve"> land governance, t</w:t>
      </w:r>
      <w:r w:rsidR="00781FAD" w:rsidRPr="00C92118">
        <w:rPr>
          <w:rFonts w:asciiTheme="majorBidi" w:hAnsiTheme="majorBidi" w:cstheme="majorBidi"/>
          <w:bCs/>
        </w:rPr>
        <w:t xml:space="preserve">he LPI is </w:t>
      </w:r>
      <w:r w:rsidR="003A26F6" w:rsidRPr="00C92118">
        <w:rPr>
          <w:rFonts w:asciiTheme="majorBidi" w:hAnsiTheme="majorBidi" w:cstheme="majorBidi"/>
          <w:bCs/>
        </w:rPr>
        <w:t>working with</w:t>
      </w:r>
      <w:r w:rsidR="00781FAD" w:rsidRPr="00C92118">
        <w:rPr>
          <w:rFonts w:asciiTheme="majorBidi" w:hAnsiTheme="majorBidi" w:cstheme="majorBidi"/>
          <w:b/>
          <w:bCs/>
          <w:i/>
        </w:rPr>
        <w:t xml:space="preserve"> </w:t>
      </w:r>
      <w:r w:rsidR="00781FAD" w:rsidRPr="00C92118">
        <w:rPr>
          <w:rFonts w:asciiTheme="majorBidi" w:hAnsiTheme="majorBidi" w:cstheme="majorBidi"/>
          <w:bCs/>
        </w:rPr>
        <w:t>Institut Agronomique et Veterinaire Hassan II, (IAV) Morocco and University of Liberia to develop graduate programs on land go</w:t>
      </w:r>
      <w:r w:rsidR="003A26F6" w:rsidRPr="00C92118">
        <w:rPr>
          <w:rFonts w:asciiTheme="majorBidi" w:hAnsiTheme="majorBidi" w:cstheme="majorBidi"/>
          <w:bCs/>
        </w:rPr>
        <w:t>vernance. This is based on requests from the two institutions</w:t>
      </w:r>
      <w:r w:rsidR="00B91744" w:rsidRPr="00C92118">
        <w:rPr>
          <w:rFonts w:asciiTheme="majorBidi" w:hAnsiTheme="majorBidi" w:cstheme="majorBidi"/>
          <w:bCs/>
        </w:rPr>
        <w:t>. T</w:t>
      </w:r>
      <w:r w:rsidR="00781FAD" w:rsidRPr="00C92118">
        <w:rPr>
          <w:rFonts w:asciiTheme="majorBidi" w:hAnsiTheme="majorBidi" w:cstheme="majorBidi"/>
          <w:bCs/>
        </w:rPr>
        <w:t xml:space="preserve">he LPI will coordinate technical assistance drawing in experts and partners </w:t>
      </w:r>
      <w:r w:rsidR="00942FCF" w:rsidRPr="00C92118">
        <w:rPr>
          <w:rFonts w:asciiTheme="majorBidi" w:hAnsiTheme="majorBidi" w:cstheme="majorBidi"/>
          <w:bCs/>
        </w:rPr>
        <w:t>to assist</w:t>
      </w:r>
      <w:r w:rsidR="00781FAD" w:rsidRPr="00C92118">
        <w:rPr>
          <w:rFonts w:asciiTheme="majorBidi" w:hAnsiTheme="majorBidi" w:cstheme="majorBidi"/>
          <w:bCs/>
        </w:rPr>
        <w:t xml:space="preserve"> both universities</w:t>
      </w:r>
      <w:r w:rsidR="00B91744" w:rsidRPr="00C92118">
        <w:rPr>
          <w:rFonts w:asciiTheme="majorBidi" w:hAnsiTheme="majorBidi" w:cstheme="majorBidi"/>
          <w:bCs/>
        </w:rPr>
        <w:t xml:space="preserve"> based on the </w:t>
      </w:r>
      <w:r w:rsidR="00B91744" w:rsidRPr="00C92118">
        <w:rPr>
          <w:rFonts w:asciiTheme="majorBidi" w:hAnsiTheme="majorBidi" w:cstheme="majorBidi"/>
          <w:bCs/>
          <w:i/>
        </w:rPr>
        <w:t>Guidelines for Development of Curricula on Land Governance in Africa</w:t>
      </w:r>
      <w:r w:rsidR="00942FCF" w:rsidRPr="00C92118">
        <w:rPr>
          <w:rFonts w:asciiTheme="majorBidi" w:hAnsiTheme="majorBidi" w:cstheme="majorBidi"/>
          <w:bCs/>
        </w:rPr>
        <w:t xml:space="preserve">. </w:t>
      </w:r>
      <w:r w:rsidR="00C92118" w:rsidRPr="00C92118">
        <w:rPr>
          <w:rFonts w:asciiTheme="majorBidi" w:hAnsiTheme="majorBidi" w:cstheme="majorBidi"/>
          <w:bCs/>
        </w:rPr>
        <w:t xml:space="preserve"> </w:t>
      </w:r>
      <w:r w:rsidR="00942FCF" w:rsidRPr="00C92118">
        <w:rPr>
          <w:rFonts w:asciiTheme="majorBidi" w:hAnsiTheme="majorBidi" w:cstheme="majorBidi"/>
          <w:bCs/>
        </w:rPr>
        <w:t xml:space="preserve">The LPI is </w:t>
      </w:r>
      <w:r w:rsidR="00C92118">
        <w:rPr>
          <w:rFonts w:asciiTheme="majorBidi" w:hAnsiTheme="majorBidi" w:cstheme="majorBidi"/>
          <w:bCs/>
        </w:rPr>
        <w:t xml:space="preserve">also </w:t>
      </w:r>
      <w:r w:rsidR="00942FCF" w:rsidRPr="00C92118">
        <w:rPr>
          <w:rFonts w:asciiTheme="majorBidi" w:hAnsiTheme="majorBidi" w:cstheme="majorBidi"/>
          <w:bCs/>
        </w:rPr>
        <w:t xml:space="preserve">working closely with Ardhi University </w:t>
      </w:r>
      <w:r w:rsidR="00B91744" w:rsidRPr="00C92118">
        <w:rPr>
          <w:rFonts w:asciiTheme="majorBidi" w:hAnsiTheme="majorBidi" w:cstheme="majorBidi"/>
          <w:bCs/>
        </w:rPr>
        <w:t>(Tanzania) and the University of Western Cape</w:t>
      </w:r>
      <w:r w:rsidR="00541A6A" w:rsidRPr="00C92118">
        <w:rPr>
          <w:rFonts w:asciiTheme="majorBidi" w:hAnsiTheme="majorBidi" w:cstheme="majorBidi"/>
          <w:bCs/>
        </w:rPr>
        <w:t xml:space="preserve">’s Institute for Poverty, Land and Agrarian Studies (PLAAS), in </w:t>
      </w:r>
      <w:r w:rsidR="00B91744" w:rsidRPr="00C92118">
        <w:rPr>
          <w:rFonts w:asciiTheme="majorBidi" w:hAnsiTheme="majorBidi" w:cstheme="majorBidi"/>
          <w:bCs/>
        </w:rPr>
        <w:t>South Africa</w:t>
      </w:r>
      <w:r w:rsidR="00541A6A" w:rsidRPr="00C92118">
        <w:rPr>
          <w:rFonts w:asciiTheme="majorBidi" w:hAnsiTheme="majorBidi" w:cstheme="majorBidi"/>
          <w:bCs/>
        </w:rPr>
        <w:t xml:space="preserve">, </w:t>
      </w:r>
      <w:r w:rsidR="005D1E27" w:rsidRPr="00C92118">
        <w:rPr>
          <w:rFonts w:asciiTheme="majorBidi" w:hAnsiTheme="majorBidi" w:cstheme="majorBidi"/>
          <w:bCs/>
        </w:rPr>
        <w:t>to address their</w:t>
      </w:r>
      <w:r w:rsidR="00541A6A" w:rsidRPr="00C92118">
        <w:rPr>
          <w:rFonts w:asciiTheme="majorBidi" w:hAnsiTheme="majorBidi" w:cstheme="majorBidi"/>
          <w:bCs/>
        </w:rPr>
        <w:t xml:space="preserve"> </w:t>
      </w:r>
      <w:r w:rsidR="00B91744" w:rsidRPr="00C92118">
        <w:rPr>
          <w:rFonts w:asciiTheme="majorBidi" w:hAnsiTheme="majorBidi" w:cstheme="majorBidi"/>
          <w:bCs/>
        </w:rPr>
        <w:t xml:space="preserve">requests for </w:t>
      </w:r>
      <w:r w:rsidR="00942FCF" w:rsidRPr="00C92118">
        <w:rPr>
          <w:rFonts w:asciiTheme="majorBidi" w:hAnsiTheme="majorBidi" w:cstheme="majorBidi"/>
          <w:bCs/>
        </w:rPr>
        <w:t xml:space="preserve">support </w:t>
      </w:r>
      <w:r w:rsidR="00B91744" w:rsidRPr="00C92118">
        <w:rPr>
          <w:rFonts w:asciiTheme="majorBidi" w:hAnsiTheme="majorBidi" w:cstheme="majorBidi"/>
          <w:bCs/>
        </w:rPr>
        <w:t>to</w:t>
      </w:r>
      <w:r w:rsidR="00942FCF" w:rsidRPr="00C92118">
        <w:rPr>
          <w:rFonts w:asciiTheme="majorBidi" w:hAnsiTheme="majorBidi" w:cstheme="majorBidi"/>
          <w:bCs/>
        </w:rPr>
        <w:t xml:space="preserve"> review </w:t>
      </w:r>
      <w:r w:rsidR="005D1E27" w:rsidRPr="00C92118">
        <w:rPr>
          <w:rFonts w:asciiTheme="majorBidi" w:hAnsiTheme="majorBidi" w:cstheme="majorBidi"/>
          <w:bCs/>
        </w:rPr>
        <w:t xml:space="preserve">MSc and PhD curricula. The aim of the review is to </w:t>
      </w:r>
      <w:r w:rsidR="00942FCF" w:rsidRPr="00C92118">
        <w:rPr>
          <w:rFonts w:asciiTheme="majorBidi" w:hAnsiTheme="majorBidi" w:cstheme="majorBidi"/>
          <w:bCs/>
        </w:rPr>
        <w:t>incorporat</w:t>
      </w:r>
      <w:r w:rsidR="005D1E27" w:rsidRPr="00C92118">
        <w:rPr>
          <w:rFonts w:asciiTheme="majorBidi" w:hAnsiTheme="majorBidi" w:cstheme="majorBidi"/>
          <w:bCs/>
        </w:rPr>
        <w:t>e</w:t>
      </w:r>
      <w:r w:rsidR="00942FCF" w:rsidRPr="00C92118">
        <w:rPr>
          <w:rFonts w:asciiTheme="majorBidi" w:hAnsiTheme="majorBidi" w:cstheme="majorBidi"/>
          <w:bCs/>
        </w:rPr>
        <w:t xml:space="preserve"> </w:t>
      </w:r>
      <w:r w:rsidR="00B91744" w:rsidRPr="00C92118">
        <w:rPr>
          <w:rFonts w:asciiTheme="majorBidi" w:hAnsiTheme="majorBidi" w:cstheme="majorBidi"/>
          <w:bCs/>
        </w:rPr>
        <w:t xml:space="preserve">key </w:t>
      </w:r>
      <w:r w:rsidR="00942FCF" w:rsidRPr="00C92118">
        <w:rPr>
          <w:rFonts w:asciiTheme="majorBidi" w:hAnsiTheme="majorBidi" w:cstheme="majorBidi"/>
          <w:bCs/>
        </w:rPr>
        <w:t xml:space="preserve">aspects of the </w:t>
      </w:r>
      <w:r w:rsidR="00942FCF" w:rsidRPr="00EB264C">
        <w:rPr>
          <w:rFonts w:asciiTheme="majorBidi" w:hAnsiTheme="majorBidi" w:cstheme="majorBidi"/>
          <w:bCs/>
        </w:rPr>
        <w:t xml:space="preserve">Guidelines </w:t>
      </w:r>
      <w:r w:rsidR="00B91744" w:rsidRPr="00EB264C">
        <w:rPr>
          <w:rFonts w:asciiTheme="majorBidi" w:hAnsiTheme="majorBidi" w:cstheme="majorBidi"/>
          <w:bCs/>
        </w:rPr>
        <w:t>for</w:t>
      </w:r>
      <w:r w:rsidR="00942FCF" w:rsidRPr="00EB264C">
        <w:rPr>
          <w:rFonts w:asciiTheme="majorBidi" w:hAnsiTheme="majorBidi" w:cstheme="majorBidi"/>
          <w:bCs/>
        </w:rPr>
        <w:t xml:space="preserve"> Curricula Development. </w:t>
      </w:r>
    </w:p>
    <w:p w:rsidR="00411469" w:rsidRDefault="00411469" w:rsidP="00976670">
      <w:pPr>
        <w:jc w:val="both"/>
        <w:rPr>
          <w:rFonts w:asciiTheme="majorBidi" w:hAnsiTheme="majorBidi" w:cstheme="majorBidi"/>
          <w:b/>
          <w:bCs/>
        </w:rPr>
      </w:pPr>
    </w:p>
    <w:p w:rsidR="009C1386" w:rsidRPr="00C92118" w:rsidRDefault="00541A6A" w:rsidP="00B75C03">
      <w:pPr>
        <w:pStyle w:val="ListParagraph"/>
        <w:numPr>
          <w:ilvl w:val="0"/>
          <w:numId w:val="20"/>
        </w:numPr>
        <w:ind w:left="0"/>
        <w:jc w:val="both"/>
        <w:rPr>
          <w:rFonts w:asciiTheme="majorBidi" w:hAnsiTheme="majorBidi" w:cstheme="majorBidi"/>
          <w:bCs/>
        </w:rPr>
      </w:pPr>
      <w:r w:rsidRPr="00C92118">
        <w:rPr>
          <w:rFonts w:asciiTheme="majorBidi" w:hAnsiTheme="majorBidi" w:cstheme="majorBidi"/>
          <w:b/>
          <w:bCs/>
          <w:i/>
        </w:rPr>
        <w:t>Short-term t</w:t>
      </w:r>
      <w:r w:rsidR="00853A63" w:rsidRPr="00C92118">
        <w:rPr>
          <w:rFonts w:asciiTheme="majorBidi" w:hAnsiTheme="majorBidi" w:cstheme="majorBidi"/>
          <w:b/>
          <w:bCs/>
          <w:i/>
        </w:rPr>
        <w:t xml:space="preserve">raining </w:t>
      </w:r>
      <w:r w:rsidRPr="00C92118">
        <w:rPr>
          <w:rFonts w:asciiTheme="majorBidi" w:hAnsiTheme="majorBidi" w:cstheme="majorBidi"/>
          <w:b/>
          <w:bCs/>
          <w:i/>
        </w:rPr>
        <w:t xml:space="preserve">programmes </w:t>
      </w:r>
      <w:r w:rsidR="004126ED" w:rsidRPr="00C92118">
        <w:rPr>
          <w:rFonts w:asciiTheme="majorBidi" w:hAnsiTheme="majorBidi" w:cstheme="majorBidi"/>
          <w:b/>
          <w:bCs/>
          <w:i/>
        </w:rPr>
        <w:t>for land professionals</w:t>
      </w:r>
      <w:r w:rsidR="00B34908" w:rsidRPr="00C92118">
        <w:rPr>
          <w:rFonts w:asciiTheme="majorBidi" w:hAnsiTheme="majorBidi" w:cstheme="majorBidi"/>
          <w:b/>
          <w:bCs/>
          <w:i/>
        </w:rPr>
        <w:t>/actors</w:t>
      </w:r>
      <w:r w:rsidR="00BA4D0A" w:rsidRPr="00C92118">
        <w:rPr>
          <w:rFonts w:asciiTheme="majorBidi" w:hAnsiTheme="majorBidi" w:cstheme="majorBidi"/>
          <w:b/>
          <w:bCs/>
          <w:i/>
        </w:rPr>
        <w:t>:</w:t>
      </w:r>
      <w:r w:rsidR="00BA4D0A" w:rsidRPr="00C92118">
        <w:rPr>
          <w:rFonts w:asciiTheme="majorBidi" w:hAnsiTheme="majorBidi" w:cstheme="majorBidi"/>
          <w:bCs/>
        </w:rPr>
        <w:t xml:space="preserve"> </w:t>
      </w:r>
      <w:r w:rsidR="00763F57" w:rsidRPr="00C92118">
        <w:rPr>
          <w:rFonts w:asciiTheme="majorBidi" w:hAnsiTheme="majorBidi" w:cstheme="majorBidi"/>
          <w:bCs/>
        </w:rPr>
        <w:t xml:space="preserve">The LPI organized </w:t>
      </w:r>
      <w:r w:rsidR="00CD3C74" w:rsidRPr="00C92118">
        <w:rPr>
          <w:rFonts w:asciiTheme="majorBidi" w:hAnsiTheme="majorBidi" w:cstheme="majorBidi"/>
          <w:bCs/>
        </w:rPr>
        <w:t xml:space="preserve">over twenty (20) </w:t>
      </w:r>
      <w:r w:rsidR="00763F57" w:rsidRPr="00C92118">
        <w:rPr>
          <w:rFonts w:asciiTheme="majorBidi" w:hAnsiTheme="majorBidi" w:cstheme="majorBidi"/>
          <w:bCs/>
        </w:rPr>
        <w:t>training</w:t>
      </w:r>
      <w:r w:rsidR="009D3BA5">
        <w:rPr>
          <w:rFonts w:asciiTheme="majorBidi" w:hAnsiTheme="majorBidi" w:cstheme="majorBidi"/>
          <w:bCs/>
        </w:rPr>
        <w:t>s</w:t>
      </w:r>
      <w:r w:rsidR="00763F57" w:rsidRPr="00C92118">
        <w:rPr>
          <w:rFonts w:asciiTheme="majorBidi" w:hAnsiTheme="majorBidi" w:cstheme="majorBidi"/>
          <w:bCs/>
        </w:rPr>
        <w:t xml:space="preserve"> </w:t>
      </w:r>
      <w:r w:rsidR="009D3BA5" w:rsidRPr="006E721B">
        <w:rPr>
          <w:rFonts w:asciiTheme="majorBidi" w:hAnsiTheme="majorBidi" w:cstheme="majorBidi"/>
          <w:bCs/>
        </w:rPr>
        <w:t xml:space="preserve">and sensitization </w:t>
      </w:r>
      <w:r w:rsidR="00CD3C74" w:rsidRPr="006E721B">
        <w:rPr>
          <w:rFonts w:asciiTheme="majorBidi" w:hAnsiTheme="majorBidi" w:cstheme="majorBidi"/>
          <w:bCs/>
        </w:rPr>
        <w:t>events</w:t>
      </w:r>
      <w:r w:rsidR="00CD3C74">
        <w:rPr>
          <w:rFonts w:asciiTheme="majorBidi" w:hAnsiTheme="majorBidi" w:cstheme="majorBidi"/>
          <w:b/>
          <w:bCs/>
          <w:i/>
        </w:rPr>
        <w:t xml:space="preserve"> </w:t>
      </w:r>
      <w:r w:rsidR="00763F57" w:rsidRPr="00C92118">
        <w:rPr>
          <w:rFonts w:asciiTheme="majorBidi" w:hAnsiTheme="majorBidi" w:cstheme="majorBidi"/>
          <w:bCs/>
        </w:rPr>
        <w:t xml:space="preserve">for </w:t>
      </w:r>
      <w:r w:rsidR="007114C9" w:rsidRPr="00C92118">
        <w:rPr>
          <w:rFonts w:asciiTheme="majorBidi" w:hAnsiTheme="majorBidi" w:cstheme="majorBidi"/>
          <w:bCs/>
        </w:rPr>
        <w:t>over</w:t>
      </w:r>
      <w:r w:rsidR="00B34908" w:rsidRPr="00C92118">
        <w:rPr>
          <w:rFonts w:asciiTheme="majorBidi" w:hAnsiTheme="majorBidi" w:cstheme="majorBidi"/>
          <w:bCs/>
        </w:rPr>
        <w:t xml:space="preserve"> </w:t>
      </w:r>
      <w:r w:rsidR="007114C9" w:rsidRPr="00C92118">
        <w:rPr>
          <w:rFonts w:asciiTheme="majorBidi" w:hAnsiTheme="majorBidi" w:cstheme="majorBidi"/>
          <w:bCs/>
        </w:rPr>
        <w:t>seven hundred</w:t>
      </w:r>
      <w:r w:rsidR="00B34908" w:rsidRPr="00C92118">
        <w:rPr>
          <w:rFonts w:asciiTheme="majorBidi" w:hAnsiTheme="majorBidi" w:cstheme="majorBidi"/>
          <w:bCs/>
        </w:rPr>
        <w:t xml:space="preserve"> </w:t>
      </w:r>
      <w:r w:rsidR="00465801" w:rsidRPr="00C92118">
        <w:rPr>
          <w:rFonts w:asciiTheme="majorBidi" w:hAnsiTheme="majorBidi" w:cstheme="majorBidi"/>
          <w:bCs/>
        </w:rPr>
        <w:t>(</w:t>
      </w:r>
      <w:r w:rsidR="007114C9" w:rsidRPr="00C92118">
        <w:rPr>
          <w:rFonts w:asciiTheme="majorBidi" w:hAnsiTheme="majorBidi" w:cstheme="majorBidi"/>
          <w:bCs/>
        </w:rPr>
        <w:t>700</w:t>
      </w:r>
      <w:r w:rsidR="00465801" w:rsidRPr="00C92118">
        <w:rPr>
          <w:rFonts w:asciiTheme="majorBidi" w:hAnsiTheme="majorBidi" w:cstheme="majorBidi"/>
          <w:bCs/>
        </w:rPr>
        <w:t xml:space="preserve">) </w:t>
      </w:r>
      <w:r w:rsidR="00B34908" w:rsidRPr="00C92118">
        <w:rPr>
          <w:rFonts w:asciiTheme="majorBidi" w:hAnsiTheme="majorBidi" w:cstheme="majorBidi"/>
          <w:bCs/>
        </w:rPr>
        <w:t>land professionals and actors</w:t>
      </w:r>
      <w:r w:rsidR="00465801" w:rsidRPr="00C92118">
        <w:rPr>
          <w:rFonts w:asciiTheme="majorBidi" w:hAnsiTheme="majorBidi" w:cstheme="majorBidi"/>
          <w:bCs/>
        </w:rPr>
        <w:t>, 3</w:t>
      </w:r>
      <w:r w:rsidR="00671160" w:rsidRPr="00C92118">
        <w:rPr>
          <w:rFonts w:asciiTheme="majorBidi" w:hAnsiTheme="majorBidi" w:cstheme="majorBidi"/>
          <w:bCs/>
        </w:rPr>
        <w:t>1</w:t>
      </w:r>
      <w:r w:rsidR="00465801" w:rsidRPr="00C92118">
        <w:rPr>
          <w:rFonts w:asciiTheme="majorBidi" w:hAnsiTheme="majorBidi" w:cstheme="majorBidi"/>
          <w:bCs/>
        </w:rPr>
        <w:t xml:space="preserve"> % </w:t>
      </w:r>
      <w:r w:rsidR="00CD3C74">
        <w:rPr>
          <w:rFonts w:asciiTheme="majorBidi" w:hAnsiTheme="majorBidi" w:cstheme="majorBidi"/>
          <w:bCs/>
        </w:rPr>
        <w:t xml:space="preserve">of </w:t>
      </w:r>
      <w:r w:rsidR="00EA4921">
        <w:rPr>
          <w:rFonts w:asciiTheme="majorBidi" w:hAnsiTheme="majorBidi" w:cstheme="majorBidi"/>
          <w:bCs/>
        </w:rPr>
        <w:t xml:space="preserve">participants </w:t>
      </w:r>
      <w:r w:rsidR="00CD3C74">
        <w:rPr>
          <w:rFonts w:asciiTheme="majorBidi" w:hAnsiTheme="majorBidi" w:cstheme="majorBidi"/>
          <w:bCs/>
        </w:rPr>
        <w:t xml:space="preserve">were </w:t>
      </w:r>
      <w:r w:rsidR="00465801" w:rsidRPr="00C92118">
        <w:rPr>
          <w:rFonts w:asciiTheme="majorBidi" w:hAnsiTheme="majorBidi" w:cstheme="majorBidi"/>
          <w:bCs/>
        </w:rPr>
        <w:t>women</w:t>
      </w:r>
      <w:r w:rsidR="0086637C">
        <w:rPr>
          <w:rFonts w:asciiTheme="majorBidi" w:hAnsiTheme="majorBidi" w:cstheme="majorBidi"/>
          <w:bCs/>
        </w:rPr>
        <w:t>.</w:t>
      </w:r>
      <w:r w:rsidR="00B34908" w:rsidRPr="00C92118">
        <w:rPr>
          <w:rFonts w:asciiTheme="majorBidi" w:hAnsiTheme="majorBidi" w:cstheme="majorBidi"/>
          <w:bCs/>
        </w:rPr>
        <w:t xml:space="preserve"> Those targeted in the training programmes included land administration professionals in an LPI/RCMRD joint training on effective land administration; legal professionals</w:t>
      </w:r>
      <w:r w:rsidR="00465801" w:rsidRPr="00C92118">
        <w:rPr>
          <w:rFonts w:asciiTheme="majorBidi" w:hAnsiTheme="majorBidi" w:cstheme="majorBidi"/>
          <w:bCs/>
        </w:rPr>
        <w:t xml:space="preserve">, directors of bureaus of investments and traditional chiefs </w:t>
      </w:r>
      <w:r w:rsidR="00B34908" w:rsidRPr="00C92118">
        <w:rPr>
          <w:rFonts w:asciiTheme="majorBidi" w:hAnsiTheme="majorBidi" w:cstheme="majorBidi"/>
          <w:bCs/>
        </w:rPr>
        <w:t>in training</w:t>
      </w:r>
      <w:r w:rsidR="00465801" w:rsidRPr="00C92118">
        <w:rPr>
          <w:rFonts w:asciiTheme="majorBidi" w:hAnsiTheme="majorBidi" w:cstheme="majorBidi"/>
          <w:bCs/>
        </w:rPr>
        <w:t>s</w:t>
      </w:r>
      <w:r w:rsidR="00B34908" w:rsidRPr="00C92118">
        <w:rPr>
          <w:rFonts w:asciiTheme="majorBidi" w:hAnsiTheme="majorBidi" w:cstheme="majorBidi"/>
          <w:bCs/>
        </w:rPr>
        <w:t xml:space="preserve"> on </w:t>
      </w:r>
      <w:r w:rsidR="00465801" w:rsidRPr="00C92118">
        <w:rPr>
          <w:rFonts w:asciiTheme="majorBidi" w:hAnsiTheme="majorBidi" w:cstheme="majorBidi"/>
          <w:bCs/>
        </w:rPr>
        <w:t>the use of Guiding Principles for Large Scale Land Based Investments (LSLBI) in negotiating</w:t>
      </w:r>
      <w:r w:rsidR="00B34908" w:rsidRPr="00C92118">
        <w:rPr>
          <w:rFonts w:asciiTheme="majorBidi" w:hAnsiTheme="majorBidi" w:cstheme="majorBidi"/>
          <w:bCs/>
        </w:rPr>
        <w:t xml:space="preserve"> </w:t>
      </w:r>
      <w:r w:rsidR="00465801" w:rsidRPr="00C92118">
        <w:rPr>
          <w:rFonts w:asciiTheme="majorBidi" w:hAnsiTheme="majorBidi" w:cstheme="majorBidi"/>
          <w:bCs/>
        </w:rPr>
        <w:t xml:space="preserve">and implementing </w:t>
      </w:r>
      <w:r w:rsidR="00EA4921">
        <w:rPr>
          <w:rFonts w:asciiTheme="majorBidi" w:hAnsiTheme="majorBidi" w:cstheme="majorBidi"/>
          <w:bCs/>
        </w:rPr>
        <w:t xml:space="preserve">land investment </w:t>
      </w:r>
      <w:r w:rsidR="00465801" w:rsidRPr="00C92118">
        <w:rPr>
          <w:rFonts w:asciiTheme="majorBidi" w:hAnsiTheme="majorBidi" w:cstheme="majorBidi"/>
          <w:bCs/>
        </w:rPr>
        <w:t>contracts</w:t>
      </w:r>
      <w:r w:rsidR="007114C9" w:rsidRPr="00C92118">
        <w:rPr>
          <w:rFonts w:asciiTheme="majorBidi" w:hAnsiTheme="majorBidi" w:cstheme="majorBidi"/>
          <w:bCs/>
        </w:rPr>
        <w:t>; land, agriculture and other professionals in training on ma</w:t>
      </w:r>
      <w:r w:rsidR="00EA4921">
        <w:rPr>
          <w:rFonts w:asciiTheme="majorBidi" w:hAnsiTheme="majorBidi" w:cstheme="majorBidi"/>
          <w:bCs/>
        </w:rPr>
        <w:t xml:space="preserve">instreaming land in agriculture, </w:t>
      </w:r>
      <w:r w:rsidR="007114C9" w:rsidRPr="00C92118">
        <w:rPr>
          <w:rFonts w:asciiTheme="majorBidi" w:hAnsiTheme="majorBidi" w:cstheme="majorBidi"/>
          <w:bCs/>
        </w:rPr>
        <w:t>among others.</w:t>
      </w:r>
      <w:r w:rsidR="00C92118" w:rsidRPr="00C92118">
        <w:rPr>
          <w:rFonts w:asciiTheme="majorBidi" w:hAnsiTheme="majorBidi" w:cstheme="majorBidi"/>
          <w:bCs/>
        </w:rPr>
        <w:t xml:space="preserve"> </w:t>
      </w:r>
      <w:r w:rsidR="00C92118">
        <w:rPr>
          <w:rFonts w:asciiTheme="majorBidi" w:hAnsiTheme="majorBidi" w:cstheme="majorBidi"/>
          <w:bCs/>
        </w:rPr>
        <w:t>T</w:t>
      </w:r>
      <w:r w:rsidR="00BA4D0A" w:rsidRPr="00C92118">
        <w:rPr>
          <w:rFonts w:asciiTheme="majorBidi" w:hAnsiTheme="majorBidi" w:cstheme="majorBidi"/>
          <w:bCs/>
        </w:rPr>
        <w:t xml:space="preserve">he LPI </w:t>
      </w:r>
      <w:r w:rsidR="00C92118">
        <w:rPr>
          <w:rFonts w:asciiTheme="majorBidi" w:hAnsiTheme="majorBidi" w:cstheme="majorBidi"/>
          <w:bCs/>
        </w:rPr>
        <w:t>is</w:t>
      </w:r>
      <w:r w:rsidR="00BA4D0A" w:rsidRPr="00C92118">
        <w:rPr>
          <w:rFonts w:asciiTheme="majorBidi" w:hAnsiTheme="majorBidi" w:cstheme="majorBidi"/>
          <w:bCs/>
        </w:rPr>
        <w:t xml:space="preserve"> </w:t>
      </w:r>
      <w:r w:rsidR="00952795" w:rsidRPr="00C92118">
        <w:rPr>
          <w:rFonts w:asciiTheme="majorBidi" w:hAnsiTheme="majorBidi" w:cstheme="majorBidi"/>
          <w:bCs/>
        </w:rPr>
        <w:t>collaborat</w:t>
      </w:r>
      <w:r w:rsidR="00C92118">
        <w:rPr>
          <w:rFonts w:asciiTheme="majorBidi" w:hAnsiTheme="majorBidi" w:cstheme="majorBidi"/>
          <w:bCs/>
        </w:rPr>
        <w:t>ing</w:t>
      </w:r>
      <w:r w:rsidR="00BA4D0A" w:rsidRPr="00C92118">
        <w:rPr>
          <w:rFonts w:asciiTheme="majorBidi" w:hAnsiTheme="majorBidi" w:cstheme="majorBidi"/>
          <w:bCs/>
        </w:rPr>
        <w:t xml:space="preserve"> with </w:t>
      </w:r>
      <w:r w:rsidR="00927C7B" w:rsidRPr="00C92118">
        <w:rPr>
          <w:rFonts w:asciiTheme="majorBidi" w:hAnsiTheme="majorBidi" w:cstheme="majorBidi"/>
          <w:bCs/>
        </w:rPr>
        <w:t xml:space="preserve">PLAAS, based at </w:t>
      </w:r>
      <w:r w:rsidRPr="00C92118">
        <w:rPr>
          <w:rFonts w:asciiTheme="majorBidi" w:hAnsiTheme="majorBidi" w:cstheme="majorBidi"/>
          <w:bCs/>
        </w:rPr>
        <w:t>the University of Western Cape</w:t>
      </w:r>
      <w:r w:rsidR="00843827" w:rsidRPr="00C92118">
        <w:rPr>
          <w:rFonts w:asciiTheme="majorBidi" w:hAnsiTheme="majorBidi" w:cstheme="majorBidi"/>
          <w:bCs/>
        </w:rPr>
        <w:t xml:space="preserve"> to develop a </w:t>
      </w:r>
      <w:r w:rsidR="00853A63" w:rsidRPr="00C92118">
        <w:rPr>
          <w:rFonts w:asciiTheme="majorBidi" w:hAnsiTheme="majorBidi" w:cstheme="majorBidi"/>
          <w:bCs/>
        </w:rPr>
        <w:t xml:space="preserve">series of </w:t>
      </w:r>
      <w:r w:rsidR="00843827" w:rsidRPr="00C92118">
        <w:rPr>
          <w:rFonts w:asciiTheme="majorBidi" w:hAnsiTheme="majorBidi" w:cstheme="majorBidi"/>
          <w:bCs/>
        </w:rPr>
        <w:t>training programme</w:t>
      </w:r>
      <w:r w:rsidR="00927C7B" w:rsidRPr="00C92118">
        <w:rPr>
          <w:rFonts w:asciiTheme="majorBidi" w:hAnsiTheme="majorBidi" w:cstheme="majorBidi"/>
          <w:bCs/>
        </w:rPr>
        <w:t>s</w:t>
      </w:r>
      <w:r w:rsidR="00843827" w:rsidRPr="00C92118">
        <w:rPr>
          <w:rFonts w:asciiTheme="majorBidi" w:hAnsiTheme="majorBidi" w:cstheme="majorBidi"/>
          <w:bCs/>
        </w:rPr>
        <w:t xml:space="preserve"> for land professionals. </w:t>
      </w:r>
      <w:r w:rsidR="00411469" w:rsidRPr="00C92118">
        <w:rPr>
          <w:rFonts w:asciiTheme="majorBidi" w:hAnsiTheme="majorBidi" w:cstheme="majorBidi"/>
          <w:bCs/>
        </w:rPr>
        <w:t xml:space="preserve">An assessment of training needs of land professionals is underway </w:t>
      </w:r>
      <w:r w:rsidR="00EA4921">
        <w:rPr>
          <w:rFonts w:asciiTheme="majorBidi" w:hAnsiTheme="majorBidi" w:cstheme="majorBidi"/>
          <w:bCs/>
        </w:rPr>
        <w:t xml:space="preserve">in this regard. </w:t>
      </w:r>
    </w:p>
    <w:p w:rsidR="00A65829" w:rsidRDefault="00A65829" w:rsidP="00976670">
      <w:pPr>
        <w:jc w:val="both"/>
        <w:rPr>
          <w:rFonts w:asciiTheme="majorBidi" w:hAnsiTheme="majorBidi" w:cstheme="majorBidi"/>
          <w:bCs/>
        </w:rPr>
      </w:pPr>
    </w:p>
    <w:p w:rsidR="004D169B" w:rsidRDefault="004D169B" w:rsidP="00976670">
      <w:pPr>
        <w:jc w:val="both"/>
        <w:rPr>
          <w:rFonts w:asciiTheme="majorBidi" w:hAnsiTheme="majorBidi" w:cstheme="majorBidi"/>
          <w:b/>
          <w:bCs/>
        </w:rPr>
      </w:pPr>
      <w:r>
        <w:rPr>
          <w:rFonts w:asciiTheme="majorBidi" w:hAnsiTheme="majorBidi" w:cstheme="majorBidi"/>
          <w:b/>
          <w:bCs/>
        </w:rPr>
        <w:t>PLATFORMS FOR K</w:t>
      </w:r>
      <w:r w:rsidRPr="008F3E4E">
        <w:rPr>
          <w:rFonts w:asciiTheme="majorBidi" w:hAnsiTheme="majorBidi" w:cstheme="majorBidi"/>
          <w:b/>
          <w:bCs/>
        </w:rPr>
        <w:t xml:space="preserve">NOWLEDGE DISSEMINATION AND </w:t>
      </w:r>
      <w:r>
        <w:rPr>
          <w:rFonts w:asciiTheme="majorBidi" w:hAnsiTheme="majorBidi" w:cstheme="majorBidi"/>
          <w:b/>
          <w:bCs/>
        </w:rPr>
        <w:t xml:space="preserve">LESSON </w:t>
      </w:r>
      <w:r w:rsidRPr="008F3E4E">
        <w:rPr>
          <w:rFonts w:asciiTheme="majorBidi" w:hAnsiTheme="majorBidi" w:cstheme="majorBidi"/>
          <w:b/>
          <w:bCs/>
        </w:rPr>
        <w:t xml:space="preserve">SHARING </w:t>
      </w:r>
    </w:p>
    <w:p w:rsidR="00C92118" w:rsidRDefault="00C92118" w:rsidP="00976670">
      <w:pPr>
        <w:jc w:val="both"/>
        <w:rPr>
          <w:rFonts w:asciiTheme="majorBidi" w:hAnsiTheme="majorBidi" w:cstheme="majorBidi"/>
          <w:b/>
          <w:bCs/>
        </w:rPr>
      </w:pPr>
    </w:p>
    <w:p w:rsidR="00453C56" w:rsidRDefault="00DE1654" w:rsidP="007330BC">
      <w:pPr>
        <w:pStyle w:val="ListParagraph"/>
        <w:numPr>
          <w:ilvl w:val="0"/>
          <w:numId w:val="20"/>
        </w:numPr>
        <w:ind w:left="0"/>
        <w:jc w:val="both"/>
      </w:pPr>
      <w:r w:rsidRPr="00012401">
        <w:rPr>
          <w:rFonts w:asciiTheme="majorBidi" w:hAnsiTheme="majorBidi" w:cstheme="majorBidi"/>
          <w:bCs/>
        </w:rPr>
        <w:t xml:space="preserve">The AU Declaration on </w:t>
      </w:r>
      <w:r w:rsidR="00CD3C74">
        <w:rPr>
          <w:rFonts w:asciiTheme="majorBidi" w:hAnsiTheme="majorBidi" w:cstheme="majorBidi"/>
          <w:bCs/>
        </w:rPr>
        <w:t>L</w:t>
      </w:r>
      <w:r w:rsidR="00A20B11">
        <w:rPr>
          <w:rFonts w:asciiTheme="majorBidi" w:hAnsiTheme="majorBidi" w:cstheme="majorBidi"/>
          <w:bCs/>
        </w:rPr>
        <w:t>and notes the importance</w:t>
      </w:r>
      <w:r w:rsidRPr="00012401">
        <w:rPr>
          <w:rFonts w:asciiTheme="majorBidi" w:hAnsiTheme="majorBidi" w:cstheme="majorBidi"/>
          <w:bCs/>
        </w:rPr>
        <w:t xml:space="preserve"> of convening platforms “to facilitate experience sharing, lessons </w:t>
      </w:r>
      <w:r w:rsidR="001C663D" w:rsidRPr="00012401">
        <w:rPr>
          <w:rFonts w:asciiTheme="majorBidi" w:hAnsiTheme="majorBidi" w:cstheme="majorBidi"/>
          <w:bCs/>
        </w:rPr>
        <w:t>learn</w:t>
      </w:r>
      <w:r w:rsidR="001C663D">
        <w:rPr>
          <w:rFonts w:asciiTheme="majorBidi" w:hAnsiTheme="majorBidi" w:cstheme="majorBidi"/>
          <w:bCs/>
        </w:rPr>
        <w:t>ing</w:t>
      </w:r>
      <w:r w:rsidR="001C663D" w:rsidRPr="00012401">
        <w:rPr>
          <w:rFonts w:asciiTheme="majorBidi" w:hAnsiTheme="majorBidi" w:cstheme="majorBidi"/>
          <w:bCs/>
        </w:rPr>
        <w:t xml:space="preserve"> </w:t>
      </w:r>
      <w:r w:rsidRPr="00012401">
        <w:rPr>
          <w:rFonts w:asciiTheme="majorBidi" w:hAnsiTheme="majorBidi" w:cstheme="majorBidi"/>
          <w:bCs/>
        </w:rPr>
        <w:t>and dissemination of bes</w:t>
      </w:r>
      <w:r w:rsidR="001C663D">
        <w:rPr>
          <w:rFonts w:asciiTheme="majorBidi" w:hAnsiTheme="majorBidi" w:cstheme="majorBidi"/>
          <w:bCs/>
        </w:rPr>
        <w:t>t</w:t>
      </w:r>
      <w:r w:rsidRPr="00012401">
        <w:rPr>
          <w:rFonts w:asciiTheme="majorBidi" w:hAnsiTheme="majorBidi" w:cstheme="majorBidi"/>
          <w:bCs/>
        </w:rPr>
        <w:t xml:space="preserve"> practices in land policy formulation, implementation and monitoring based on member states experiences.” In this regard, t</w:t>
      </w:r>
      <w:r w:rsidR="007114C9" w:rsidRPr="00012401">
        <w:rPr>
          <w:rFonts w:asciiTheme="majorBidi" w:hAnsiTheme="majorBidi" w:cstheme="majorBidi"/>
          <w:bCs/>
        </w:rPr>
        <w:t>he LPI organized about twenty</w:t>
      </w:r>
      <w:r w:rsidR="00CD3C74">
        <w:rPr>
          <w:rFonts w:asciiTheme="majorBidi" w:hAnsiTheme="majorBidi" w:cstheme="majorBidi"/>
          <w:bCs/>
        </w:rPr>
        <w:t>-</w:t>
      </w:r>
      <w:r w:rsidR="007114C9" w:rsidRPr="00012401">
        <w:rPr>
          <w:rFonts w:asciiTheme="majorBidi" w:hAnsiTheme="majorBidi" w:cstheme="majorBidi"/>
          <w:bCs/>
        </w:rPr>
        <w:t>five (</w:t>
      </w:r>
      <w:r w:rsidR="001C663D" w:rsidRPr="00012401">
        <w:rPr>
          <w:rFonts w:asciiTheme="majorBidi" w:hAnsiTheme="majorBidi" w:cstheme="majorBidi"/>
          <w:bCs/>
        </w:rPr>
        <w:t>2</w:t>
      </w:r>
      <w:r w:rsidR="001C663D">
        <w:rPr>
          <w:rFonts w:asciiTheme="majorBidi" w:hAnsiTheme="majorBidi" w:cstheme="majorBidi"/>
          <w:bCs/>
        </w:rPr>
        <w:t>5</w:t>
      </w:r>
      <w:r w:rsidR="007114C9" w:rsidRPr="00012401">
        <w:rPr>
          <w:rFonts w:asciiTheme="majorBidi" w:hAnsiTheme="majorBidi" w:cstheme="majorBidi"/>
          <w:bCs/>
        </w:rPr>
        <w:t xml:space="preserve">) events over the past two years to </w:t>
      </w:r>
      <w:r w:rsidR="00CD3C74" w:rsidRPr="00012401">
        <w:rPr>
          <w:rFonts w:asciiTheme="majorBidi" w:hAnsiTheme="majorBidi" w:cstheme="majorBidi"/>
          <w:bCs/>
        </w:rPr>
        <w:t>d</w:t>
      </w:r>
      <w:r w:rsidR="00CD3C74">
        <w:rPr>
          <w:rFonts w:asciiTheme="majorBidi" w:hAnsiTheme="majorBidi" w:cstheme="majorBidi"/>
          <w:bCs/>
        </w:rPr>
        <w:t>eliberate,</w:t>
      </w:r>
      <w:r w:rsidR="007114C9" w:rsidRPr="00012401">
        <w:rPr>
          <w:rFonts w:asciiTheme="majorBidi" w:hAnsiTheme="majorBidi" w:cstheme="majorBidi"/>
          <w:bCs/>
        </w:rPr>
        <w:t xml:space="preserve"> disseminate knowledge, share </w:t>
      </w:r>
      <w:r w:rsidR="00CD3C74" w:rsidRPr="00012401">
        <w:rPr>
          <w:rFonts w:asciiTheme="majorBidi" w:hAnsiTheme="majorBidi" w:cstheme="majorBidi"/>
          <w:bCs/>
        </w:rPr>
        <w:t xml:space="preserve">lessons and </w:t>
      </w:r>
      <w:r w:rsidR="007114C9" w:rsidRPr="00012401">
        <w:rPr>
          <w:rFonts w:asciiTheme="majorBidi" w:hAnsiTheme="majorBidi" w:cstheme="majorBidi"/>
          <w:bCs/>
        </w:rPr>
        <w:t xml:space="preserve">best practices, reaching </w:t>
      </w:r>
      <w:r w:rsidR="00A20B11">
        <w:rPr>
          <w:rFonts w:asciiTheme="majorBidi" w:hAnsiTheme="majorBidi" w:cstheme="majorBidi"/>
          <w:bCs/>
        </w:rPr>
        <w:t>over</w:t>
      </w:r>
      <w:r w:rsidR="007114C9" w:rsidRPr="00012401">
        <w:rPr>
          <w:rFonts w:asciiTheme="majorBidi" w:hAnsiTheme="majorBidi" w:cstheme="majorBidi"/>
          <w:bCs/>
        </w:rPr>
        <w:t xml:space="preserve"> one thousand seven hundred </w:t>
      </w:r>
      <w:r w:rsidRPr="00012401">
        <w:rPr>
          <w:rFonts w:asciiTheme="majorBidi" w:hAnsiTheme="majorBidi" w:cstheme="majorBidi"/>
          <w:bCs/>
        </w:rPr>
        <w:t>(1,700) key</w:t>
      </w:r>
      <w:r w:rsidR="007114C9" w:rsidRPr="00012401">
        <w:rPr>
          <w:rFonts w:asciiTheme="majorBidi" w:hAnsiTheme="majorBidi" w:cstheme="majorBidi"/>
          <w:bCs/>
        </w:rPr>
        <w:t xml:space="preserve"> decision makers. </w:t>
      </w:r>
      <w:r w:rsidRPr="00012401">
        <w:rPr>
          <w:rFonts w:asciiTheme="majorBidi" w:hAnsiTheme="majorBidi" w:cstheme="majorBidi"/>
          <w:bCs/>
        </w:rPr>
        <w:t xml:space="preserve">Some of the key </w:t>
      </w:r>
      <w:r w:rsidR="00C92118" w:rsidRPr="00012401">
        <w:rPr>
          <w:rFonts w:asciiTheme="majorBidi" w:hAnsiTheme="majorBidi" w:cstheme="majorBidi"/>
          <w:bCs/>
        </w:rPr>
        <w:t xml:space="preserve">stakeholders convened </w:t>
      </w:r>
      <w:r w:rsidRPr="00012401">
        <w:rPr>
          <w:rFonts w:asciiTheme="majorBidi" w:hAnsiTheme="majorBidi" w:cstheme="majorBidi"/>
          <w:bCs/>
        </w:rPr>
        <w:t xml:space="preserve">include: </w:t>
      </w:r>
      <w:r w:rsidR="00C92118" w:rsidRPr="00012401">
        <w:rPr>
          <w:rFonts w:asciiTheme="majorBidi" w:hAnsiTheme="majorBidi" w:cstheme="majorBidi"/>
          <w:bCs/>
        </w:rPr>
        <w:t xml:space="preserve">i) </w:t>
      </w:r>
      <w:r w:rsidR="00615221" w:rsidRPr="00012401">
        <w:rPr>
          <w:b/>
          <w:i/>
        </w:rPr>
        <w:t>Senior Chiefs/</w:t>
      </w:r>
      <w:r w:rsidR="00C92118" w:rsidRPr="00012401">
        <w:rPr>
          <w:b/>
          <w:i/>
        </w:rPr>
        <w:t xml:space="preserve">Traditional Authorities </w:t>
      </w:r>
      <w:r w:rsidR="00C92118">
        <w:t xml:space="preserve">in </w:t>
      </w:r>
      <w:r w:rsidR="00615221">
        <w:t xml:space="preserve">a sensitization seminar for fourty (40) senior traditional chiefs including nine (9) queen mothers. </w:t>
      </w:r>
      <w:r w:rsidR="00A20B11">
        <w:t xml:space="preserve">A </w:t>
      </w:r>
      <w:r w:rsidR="00615221">
        <w:t xml:space="preserve">communique supporting the application of the Guiding Principles on Large Scale Land Based Resources </w:t>
      </w:r>
      <w:r w:rsidR="00A20B11">
        <w:t>was issued and</w:t>
      </w:r>
      <w:r w:rsidR="00C92118">
        <w:t xml:space="preserve"> a</w:t>
      </w:r>
      <w:r w:rsidR="00615221">
        <w:t xml:space="preserve"> </w:t>
      </w:r>
      <w:r w:rsidR="00615221" w:rsidRPr="00012401">
        <w:rPr>
          <w:b/>
          <w:i/>
        </w:rPr>
        <w:t>Forum for African Traditional Authorities (FATA)</w:t>
      </w:r>
      <w:r w:rsidR="00A20B11">
        <w:rPr>
          <w:b/>
          <w:i/>
        </w:rPr>
        <w:t xml:space="preserve"> </w:t>
      </w:r>
      <w:r w:rsidR="00A20B11" w:rsidRPr="00A20B11">
        <w:t>established</w:t>
      </w:r>
      <w:r w:rsidR="00C92118" w:rsidRPr="00A20B11">
        <w:t>;</w:t>
      </w:r>
      <w:r w:rsidR="00C92118" w:rsidRPr="00012401">
        <w:rPr>
          <w:b/>
          <w:i/>
        </w:rPr>
        <w:t xml:space="preserve"> ii) </w:t>
      </w:r>
      <w:r w:rsidRPr="00012401">
        <w:rPr>
          <w:rFonts w:asciiTheme="majorBidi" w:hAnsiTheme="majorBidi" w:cstheme="majorBidi"/>
          <w:b/>
          <w:bCs/>
          <w:i/>
          <w:u w:val="single"/>
        </w:rPr>
        <w:t>Land Commissioners</w:t>
      </w:r>
      <w:r w:rsidR="00C92118" w:rsidRPr="00012401">
        <w:rPr>
          <w:rFonts w:asciiTheme="majorBidi" w:hAnsiTheme="majorBidi" w:cstheme="majorBidi"/>
          <w:b/>
          <w:bCs/>
          <w:i/>
          <w:u w:val="single"/>
        </w:rPr>
        <w:t xml:space="preserve"> </w:t>
      </w:r>
      <w:r w:rsidR="00C92118" w:rsidRPr="00012401">
        <w:rPr>
          <w:rFonts w:asciiTheme="majorBidi" w:hAnsiTheme="majorBidi" w:cstheme="majorBidi"/>
          <w:bCs/>
        </w:rPr>
        <w:t xml:space="preserve">convened </w:t>
      </w:r>
      <w:r w:rsidRPr="00012401">
        <w:rPr>
          <w:rFonts w:asciiTheme="majorBidi" w:hAnsiTheme="majorBidi" w:cstheme="majorBidi"/>
          <w:bCs/>
        </w:rPr>
        <w:t xml:space="preserve"> in</w:t>
      </w:r>
      <w:r>
        <w:t xml:space="preserve"> partnership with the Rights and Resources Initiative (RRI) and the Ministry of Lands and </w:t>
      </w:r>
      <w:r w:rsidR="004D6E77">
        <w:t xml:space="preserve">Natural Resources in </w:t>
      </w:r>
      <w:r>
        <w:t xml:space="preserve">Ghana </w:t>
      </w:r>
      <w:r w:rsidR="00C92118">
        <w:t>with 14 African countries (</w:t>
      </w:r>
      <w:r>
        <w:t>Burkina Faso, Cote d’Ivoire, Ghana, Kenya, Liberia, Madagascar, Malawi, Mali, Niger, Nigeria, Tanzania, Uganda, Zambia and Zimbabwe</w:t>
      </w:r>
      <w:r w:rsidR="00C92118">
        <w:t>) represented</w:t>
      </w:r>
      <w:r>
        <w:t xml:space="preserve">. The countries shared lessons </w:t>
      </w:r>
      <w:r w:rsidRPr="00E70B69">
        <w:t>and information</w:t>
      </w:r>
      <w:r>
        <w:t xml:space="preserve"> on the c</w:t>
      </w:r>
      <w:r w:rsidRPr="00E70B69">
        <w:t xml:space="preserve">hallenges and opportunities </w:t>
      </w:r>
      <w:r>
        <w:t xml:space="preserve">for securing community </w:t>
      </w:r>
      <w:r w:rsidRPr="00E70B69">
        <w:t>land rights.</w:t>
      </w:r>
      <w:r>
        <w:t xml:space="preserve"> </w:t>
      </w:r>
      <w:r w:rsidR="0025306A">
        <w:t>Land commis</w:t>
      </w:r>
      <w:r w:rsidR="00A70542">
        <w:t>sioners issued a communique stressing</w:t>
      </w:r>
      <w:r w:rsidR="0025306A">
        <w:t xml:space="preserve"> the importance of sustaining a platform for regular </w:t>
      </w:r>
      <w:r w:rsidR="0025306A">
        <w:lastRenderedPageBreak/>
        <w:t>meeting for exchange amo</w:t>
      </w:r>
      <w:r w:rsidR="00C92118">
        <w:t xml:space="preserve">ng land commissioners in Africa; iii) </w:t>
      </w:r>
      <w:r w:rsidR="00AA309A" w:rsidRPr="00012401">
        <w:rPr>
          <w:b/>
          <w:i/>
        </w:rPr>
        <w:t xml:space="preserve">Central Banks, </w:t>
      </w:r>
      <w:r w:rsidR="0025306A" w:rsidRPr="00012401">
        <w:rPr>
          <w:b/>
          <w:i/>
        </w:rPr>
        <w:t>Ministries of finance</w:t>
      </w:r>
      <w:r w:rsidR="0061576B" w:rsidRPr="00012401">
        <w:rPr>
          <w:b/>
          <w:i/>
        </w:rPr>
        <w:t>,</w:t>
      </w:r>
      <w:r w:rsidR="0025306A" w:rsidRPr="00012401">
        <w:rPr>
          <w:b/>
          <w:i/>
        </w:rPr>
        <w:t xml:space="preserve"> planning</w:t>
      </w:r>
      <w:r w:rsidR="0061576B" w:rsidRPr="00012401">
        <w:rPr>
          <w:b/>
          <w:i/>
        </w:rPr>
        <w:t xml:space="preserve"> and economic development</w:t>
      </w:r>
      <w:r w:rsidR="00012401" w:rsidRPr="00012401">
        <w:rPr>
          <w:b/>
        </w:rPr>
        <w:t xml:space="preserve"> </w:t>
      </w:r>
      <w:r w:rsidR="00012401">
        <w:t>convened in a</w:t>
      </w:r>
      <w:r>
        <w:t xml:space="preserve"> side event during the </w:t>
      </w:r>
      <w:r w:rsidR="00AA309A">
        <w:t xml:space="preserve">AU/ECA </w:t>
      </w:r>
      <w:r>
        <w:t xml:space="preserve">Conference of Ministers of Finance and Development </w:t>
      </w:r>
      <w:r w:rsidR="002D5B0E">
        <w:t xml:space="preserve">Planning </w:t>
      </w:r>
      <w:r>
        <w:t xml:space="preserve">in Africa </w:t>
      </w:r>
      <w:r w:rsidR="00AA309A">
        <w:t xml:space="preserve">in </w:t>
      </w:r>
      <w:r>
        <w:t>Dakar</w:t>
      </w:r>
      <w:r w:rsidR="00AA309A">
        <w:t>,</w:t>
      </w:r>
      <w:r>
        <w:t xml:space="preserve"> </w:t>
      </w:r>
      <w:r w:rsidR="00AA309A">
        <w:t xml:space="preserve">Senegal. The event </w:t>
      </w:r>
      <w:r>
        <w:t xml:space="preserve">on </w:t>
      </w:r>
      <w:r w:rsidRPr="00012401">
        <w:rPr>
          <w:i/>
        </w:rPr>
        <w:t xml:space="preserve">Invest in Africa’s Land to Catalyse Economic Growth and Prosperity – A Ministerial Dialogue </w:t>
      </w:r>
      <w:r w:rsidR="00AA309A" w:rsidRPr="004439A5">
        <w:t>raised</w:t>
      </w:r>
      <w:r w:rsidRPr="004439A5">
        <w:t xml:space="preserve"> awareness</w:t>
      </w:r>
      <w:r w:rsidR="00AA309A">
        <w:t xml:space="preserve"> and</w:t>
      </w:r>
      <w:r w:rsidRPr="004439A5">
        <w:t xml:space="preserve"> e</w:t>
      </w:r>
      <w:r>
        <w:t>nhance</w:t>
      </w:r>
      <w:r w:rsidR="00AA309A">
        <w:t>d</w:t>
      </w:r>
      <w:r>
        <w:t xml:space="preserve"> </w:t>
      </w:r>
      <w:r w:rsidRPr="004439A5">
        <w:t>knowledge</w:t>
      </w:r>
      <w:r>
        <w:t xml:space="preserve"> on innovative approaches to boost land based investments for inclusive economic growth, social cohes</w:t>
      </w:r>
      <w:r w:rsidR="00012401">
        <w:t xml:space="preserve">ion and sustainable development;  iv) </w:t>
      </w:r>
      <w:r w:rsidR="00453C56" w:rsidRPr="00012401">
        <w:rPr>
          <w:b/>
          <w:i/>
        </w:rPr>
        <w:t>Ministers of</w:t>
      </w:r>
      <w:r w:rsidR="00453C56" w:rsidRPr="00012401">
        <w:rPr>
          <w:b/>
          <w:i/>
          <w:u w:val="single"/>
        </w:rPr>
        <w:t xml:space="preserve"> </w:t>
      </w:r>
      <w:r w:rsidR="00453C56" w:rsidRPr="00012401">
        <w:rPr>
          <w:b/>
          <w:i/>
        </w:rPr>
        <w:t>Land</w:t>
      </w:r>
      <w:r w:rsidR="00012401" w:rsidRPr="00012401">
        <w:rPr>
          <w:b/>
          <w:i/>
        </w:rPr>
        <w:t xml:space="preserve"> </w:t>
      </w:r>
      <w:r w:rsidR="00012401" w:rsidRPr="00012401">
        <w:t>in</w:t>
      </w:r>
      <w:r w:rsidR="00453C56" w:rsidRPr="00012401">
        <w:t xml:space="preserve"> a</w:t>
      </w:r>
      <w:r w:rsidR="0033627F">
        <w:t xml:space="preserve"> ministerial dialogue held</w:t>
      </w:r>
      <w:r w:rsidR="00012401">
        <w:t xml:space="preserve"> </w:t>
      </w:r>
      <w:r w:rsidR="00453C56">
        <w:t xml:space="preserve">in the auspices of the fourth high level forum on United Nations Global Geospatial Information Management (UNGGIM) in April 2016, attended by over </w:t>
      </w:r>
      <w:r w:rsidR="001C663D">
        <w:t>three hundred (</w:t>
      </w:r>
      <w:r w:rsidR="00453C56">
        <w:t>300</w:t>
      </w:r>
      <w:r w:rsidR="001C663D">
        <w:t>)</w:t>
      </w:r>
      <w:r w:rsidR="00453C56">
        <w:t xml:space="preserve"> participants</w:t>
      </w:r>
      <w:r w:rsidR="001C663D">
        <w:t xml:space="preserve"> from fifty seven  (57)</w:t>
      </w:r>
      <w:r w:rsidR="003C29F9">
        <w:t xml:space="preserve"> countries</w:t>
      </w:r>
      <w:r w:rsidR="00453C56">
        <w:t>.</w:t>
      </w:r>
    </w:p>
    <w:p w:rsidR="007F211A" w:rsidRPr="00883670" w:rsidRDefault="007F211A" w:rsidP="00976670">
      <w:pPr>
        <w:jc w:val="both"/>
        <w:rPr>
          <w:rFonts w:asciiTheme="majorBidi" w:hAnsiTheme="majorBidi" w:cstheme="majorBidi"/>
          <w:b/>
          <w:bCs/>
        </w:rPr>
      </w:pPr>
    </w:p>
    <w:p w:rsidR="003A12E8" w:rsidRDefault="003A12E8" w:rsidP="007F211A">
      <w:pPr>
        <w:pStyle w:val="ListParagraph"/>
        <w:numPr>
          <w:ilvl w:val="0"/>
          <w:numId w:val="20"/>
        </w:numPr>
        <w:ind w:left="0"/>
        <w:jc w:val="both"/>
      </w:pPr>
      <w:r w:rsidRPr="007F211A">
        <w:rPr>
          <w:b/>
          <w:i/>
          <w:u w:val="single"/>
        </w:rPr>
        <w:t>Conference on Land Policy in Africa-2017</w:t>
      </w:r>
      <w:r w:rsidRPr="007F211A">
        <w:rPr>
          <w:b/>
          <w:i/>
        </w:rPr>
        <w:t>:</w:t>
      </w:r>
      <w:r w:rsidRPr="007F211A">
        <w:rPr>
          <w:b/>
        </w:rPr>
        <w:t xml:space="preserve"> </w:t>
      </w:r>
      <w:r w:rsidR="00DE1AF4" w:rsidRPr="00533A6D">
        <w:t>Following the</w:t>
      </w:r>
      <w:r w:rsidR="00DE1AF4" w:rsidRPr="008F3E4E">
        <w:t xml:space="preserve"> successful</w:t>
      </w:r>
      <w:r w:rsidR="00DE1AF4" w:rsidRPr="007F211A">
        <w:rPr>
          <w:b/>
        </w:rPr>
        <w:t xml:space="preserve"> </w:t>
      </w:r>
      <w:r w:rsidR="00DE1AF4" w:rsidRPr="00066A27">
        <w:t xml:space="preserve">inaugural </w:t>
      </w:r>
      <w:r>
        <w:t xml:space="preserve">Conference on Land Policy in Africa </w:t>
      </w:r>
      <w:r w:rsidR="00DE1AF4">
        <w:t xml:space="preserve">in November (CLPA) </w:t>
      </w:r>
      <w:r w:rsidR="00BB1BB7">
        <w:t xml:space="preserve">in </w:t>
      </w:r>
      <w:r w:rsidR="007E5A56">
        <w:t xml:space="preserve">2014 </w:t>
      </w:r>
      <w:r w:rsidR="00DE1AF4">
        <w:t xml:space="preserve">during which </w:t>
      </w:r>
      <w:r w:rsidR="001420AA">
        <w:t>three hundred fifty (</w:t>
      </w:r>
      <w:r w:rsidR="00DE1AF4">
        <w:t>350</w:t>
      </w:r>
      <w:r w:rsidR="001420AA">
        <w:t>)</w:t>
      </w:r>
      <w:r w:rsidR="00DE1AF4">
        <w:t xml:space="preserve"> researchers, policymakers and other stakeholders participated, the LPI will hold the second CLPA</w:t>
      </w:r>
      <w:r w:rsidR="005E161C">
        <w:t xml:space="preserve"> on 14-17 November 2017. CLPA is a </w:t>
      </w:r>
      <w:r>
        <w:t xml:space="preserve">multi-stakeholder dialogue platform for knowledge and experience sharing, as well as advocacy on land policy development, implementation and monitoring.  </w:t>
      </w:r>
      <w:r w:rsidR="005E161C">
        <w:t>The CLPA</w:t>
      </w:r>
      <w:r w:rsidR="00BB1BB7">
        <w:t>-2017</w:t>
      </w:r>
      <w:r>
        <w:t xml:space="preserve"> </w:t>
      </w:r>
      <w:r w:rsidR="005E161C">
        <w:t>will</w:t>
      </w:r>
      <w:r>
        <w:t xml:space="preserve"> deepen commitment and strengthen capacity for land </w:t>
      </w:r>
      <w:r w:rsidR="00BB1BB7">
        <w:t>reforms</w:t>
      </w:r>
      <w:r>
        <w:t xml:space="preserve"> through improved access to knowledge and information </w:t>
      </w:r>
      <w:r w:rsidR="00BB1BB7">
        <w:t>for evidence based land policies</w:t>
      </w:r>
      <w:r>
        <w:t xml:space="preserve">. </w:t>
      </w:r>
      <w:r w:rsidR="004E7D35">
        <w:t>CLPA-2017 will be held</w:t>
      </w:r>
      <w:r>
        <w:t xml:space="preserve"> under the theme: </w:t>
      </w:r>
      <w:r w:rsidRPr="006E721B">
        <w:rPr>
          <w:i/>
        </w:rPr>
        <w:t>“The Africa We Want: Achieving socioeconomic transformation through inclusive and equitable access to land by the youth.”</w:t>
      </w:r>
      <w:r>
        <w:t xml:space="preserve"> The theme is aligned </w:t>
      </w:r>
      <w:r w:rsidR="003C29F9">
        <w:t xml:space="preserve">with </w:t>
      </w:r>
      <w:r w:rsidR="00BB1BB7">
        <w:t>the AU</w:t>
      </w:r>
      <w:r>
        <w:t xml:space="preserve"> Declaration of the year 2017 as the year of youth as agents for socio-economic transformation under the theme </w:t>
      </w:r>
      <w:r w:rsidRPr="006E721B">
        <w:rPr>
          <w:i/>
        </w:rPr>
        <w:t>“Harnessing Africa’s Demographic Dividend through Investment in youth”.</w:t>
      </w:r>
      <w:r>
        <w:t xml:space="preserve">  </w:t>
      </w:r>
      <w:r w:rsidR="00BB1BB7">
        <w:t xml:space="preserve">Promoting involvement of </w:t>
      </w:r>
      <w:r>
        <w:t>youth in decision making and empower</w:t>
      </w:r>
      <w:r w:rsidR="00BB1BB7">
        <w:t>ing them</w:t>
      </w:r>
      <w:r>
        <w:t xml:space="preserve"> through access to land and other natural resources will unlock Africa’s economic potential by harne</w:t>
      </w:r>
      <w:r w:rsidR="00BB1BB7">
        <w:t>ssing the demographic dividend, contributing</w:t>
      </w:r>
      <w:r>
        <w:t xml:space="preserve"> towards realization of the “Africa We Want” as envisioned in Agenda 2063.</w:t>
      </w:r>
    </w:p>
    <w:p w:rsidR="00843827" w:rsidRDefault="00843827" w:rsidP="00976670">
      <w:pPr>
        <w:jc w:val="both"/>
        <w:rPr>
          <w:rFonts w:asciiTheme="majorBidi" w:hAnsiTheme="majorBidi" w:cstheme="majorBidi"/>
          <w:bCs/>
        </w:rPr>
      </w:pPr>
    </w:p>
    <w:p w:rsidR="005A42CE" w:rsidRDefault="003A6956" w:rsidP="00976670">
      <w:pPr>
        <w:jc w:val="both"/>
        <w:rPr>
          <w:rFonts w:asciiTheme="majorBidi" w:hAnsiTheme="majorBidi" w:cstheme="majorBidi"/>
          <w:b/>
          <w:bCs/>
        </w:rPr>
      </w:pPr>
      <w:r w:rsidRPr="005A42CE">
        <w:rPr>
          <w:rFonts w:asciiTheme="majorBidi" w:hAnsiTheme="majorBidi" w:cstheme="majorBidi"/>
          <w:b/>
          <w:bCs/>
        </w:rPr>
        <w:t xml:space="preserve">MONITORING AND EVALUATION </w:t>
      </w:r>
      <w:r w:rsidR="00C871C0">
        <w:rPr>
          <w:rFonts w:asciiTheme="majorBidi" w:hAnsiTheme="majorBidi" w:cstheme="majorBidi"/>
          <w:b/>
          <w:bCs/>
        </w:rPr>
        <w:t>OF LAND GOVERNANCE IN AFRICA</w:t>
      </w:r>
    </w:p>
    <w:p w:rsidR="00741C33" w:rsidRDefault="00741C33" w:rsidP="00976670">
      <w:pPr>
        <w:jc w:val="both"/>
        <w:rPr>
          <w:rFonts w:asciiTheme="majorBidi" w:hAnsiTheme="majorBidi" w:cstheme="majorBidi"/>
          <w:bCs/>
        </w:rPr>
      </w:pPr>
    </w:p>
    <w:p w:rsidR="00AD4A67" w:rsidRPr="007F211A" w:rsidRDefault="004521E2" w:rsidP="007F211A">
      <w:pPr>
        <w:pStyle w:val="ListParagraph"/>
        <w:numPr>
          <w:ilvl w:val="0"/>
          <w:numId w:val="20"/>
        </w:numPr>
        <w:ind w:left="0"/>
        <w:jc w:val="both"/>
        <w:rPr>
          <w:rFonts w:asciiTheme="majorBidi" w:hAnsiTheme="majorBidi" w:cstheme="majorBidi"/>
          <w:bCs/>
        </w:rPr>
      </w:pPr>
      <w:r w:rsidRPr="007F211A">
        <w:rPr>
          <w:rFonts w:asciiTheme="majorBidi" w:hAnsiTheme="majorBidi" w:cstheme="majorBidi"/>
          <w:bCs/>
        </w:rPr>
        <w:t xml:space="preserve">The AU Declaration on Land Issues and Challenges requests the AU Commission in collaboration with the RECs, UN Economic Commission for Africa (ECA) and the African Development Bank (AfDB), to “undertake measures for the establishment of mechanisms for progress tracking and periodic reporting by Member States on progress achieved.” Following the endorsement of the Monitoring and Evaluation Framework for Land Policy in Africa </w:t>
      </w:r>
      <w:r w:rsidR="00423DE2" w:rsidRPr="007F211A">
        <w:rPr>
          <w:rFonts w:asciiTheme="majorBidi" w:hAnsiTheme="majorBidi" w:cstheme="majorBidi"/>
          <w:bCs/>
        </w:rPr>
        <w:t>by</w:t>
      </w:r>
      <w:r w:rsidRPr="007F211A">
        <w:rPr>
          <w:rFonts w:asciiTheme="majorBidi" w:hAnsiTheme="majorBidi" w:cstheme="majorBidi"/>
          <w:bCs/>
        </w:rPr>
        <w:t xml:space="preserve"> the 2015 inaugural STC on Agriculture, Rural Development, Water and Environment, </w:t>
      </w:r>
      <w:r w:rsidR="00423DE2" w:rsidRPr="007F211A">
        <w:rPr>
          <w:rFonts w:asciiTheme="majorBidi" w:hAnsiTheme="majorBidi" w:cstheme="majorBidi"/>
          <w:bCs/>
        </w:rPr>
        <w:t>the LPI partnered with the International Food Policy Research Institute (IFPRI) to implement a pilot project on monitoring and evaluation on land governance in Africa (</w:t>
      </w:r>
      <w:r w:rsidR="007C207E" w:rsidRPr="007F211A">
        <w:rPr>
          <w:rFonts w:asciiTheme="majorBidi" w:hAnsiTheme="majorBidi" w:cstheme="majorBidi"/>
          <w:bCs/>
        </w:rPr>
        <w:t>MELA</w:t>
      </w:r>
      <w:r w:rsidR="00423DE2" w:rsidRPr="007F211A">
        <w:rPr>
          <w:rFonts w:asciiTheme="majorBidi" w:hAnsiTheme="majorBidi" w:cstheme="majorBidi"/>
          <w:bCs/>
        </w:rPr>
        <w:t>).</w:t>
      </w:r>
      <w:r w:rsidR="007C207E" w:rsidRPr="007F211A">
        <w:rPr>
          <w:rFonts w:asciiTheme="majorBidi" w:hAnsiTheme="majorBidi" w:cstheme="majorBidi"/>
          <w:bCs/>
        </w:rPr>
        <w:t xml:space="preserve"> The first phase of the </w:t>
      </w:r>
      <w:r w:rsidR="00AA406C" w:rsidRPr="007F211A">
        <w:rPr>
          <w:rFonts w:asciiTheme="majorBidi" w:hAnsiTheme="majorBidi" w:cstheme="majorBidi"/>
          <w:bCs/>
        </w:rPr>
        <w:t>project</w:t>
      </w:r>
      <w:r w:rsidR="007C207E" w:rsidRPr="007F211A">
        <w:rPr>
          <w:rFonts w:asciiTheme="majorBidi" w:hAnsiTheme="majorBidi" w:cstheme="majorBidi"/>
          <w:bCs/>
        </w:rPr>
        <w:t xml:space="preserve"> </w:t>
      </w:r>
      <w:r w:rsidR="00AA406C">
        <w:rPr>
          <w:rFonts w:asciiTheme="majorBidi" w:hAnsiTheme="majorBidi" w:cstheme="majorBidi"/>
          <w:bCs/>
        </w:rPr>
        <w:t xml:space="preserve">is </w:t>
      </w:r>
      <w:r w:rsidR="007C207E" w:rsidRPr="007F211A">
        <w:rPr>
          <w:rFonts w:asciiTheme="majorBidi" w:hAnsiTheme="majorBidi" w:cstheme="majorBidi"/>
          <w:bCs/>
        </w:rPr>
        <w:t>support</w:t>
      </w:r>
      <w:r w:rsidR="00AA406C">
        <w:rPr>
          <w:rFonts w:asciiTheme="majorBidi" w:hAnsiTheme="majorBidi" w:cstheme="majorBidi"/>
          <w:bCs/>
        </w:rPr>
        <w:t>ed by</w:t>
      </w:r>
      <w:r w:rsidR="00AA406C" w:rsidRPr="007F211A">
        <w:rPr>
          <w:rFonts w:asciiTheme="majorBidi" w:hAnsiTheme="majorBidi" w:cstheme="majorBidi"/>
          <w:bCs/>
        </w:rPr>
        <w:t xml:space="preserve"> the</w:t>
      </w:r>
      <w:r w:rsidR="007C207E" w:rsidRPr="007F211A">
        <w:rPr>
          <w:rFonts w:asciiTheme="majorBidi" w:hAnsiTheme="majorBidi" w:cstheme="majorBidi"/>
          <w:bCs/>
        </w:rPr>
        <w:t xml:space="preserve"> European Union and the German government and is being implemented in twelve countries: Cote d’Ivoire, Democratic Republic of Congo (DRC), </w:t>
      </w:r>
      <w:r w:rsidR="0013044F" w:rsidRPr="007F211A">
        <w:rPr>
          <w:rFonts w:asciiTheme="majorBidi" w:hAnsiTheme="majorBidi" w:cstheme="majorBidi"/>
          <w:bCs/>
        </w:rPr>
        <w:t xml:space="preserve">Ethiopia, Kenya, </w:t>
      </w:r>
      <w:r w:rsidR="007C207E" w:rsidRPr="007F211A">
        <w:rPr>
          <w:rFonts w:asciiTheme="majorBidi" w:hAnsiTheme="majorBidi" w:cstheme="majorBidi"/>
          <w:bCs/>
        </w:rPr>
        <w:t>Madagas</w:t>
      </w:r>
      <w:r w:rsidR="0013044F" w:rsidRPr="007F211A">
        <w:rPr>
          <w:rFonts w:asciiTheme="majorBidi" w:hAnsiTheme="majorBidi" w:cstheme="majorBidi"/>
          <w:bCs/>
        </w:rPr>
        <w:t>car, Malawi, Niger, Nigeria, Rwanda, Tanzania, Uganda and Zambia.</w:t>
      </w:r>
      <w:r w:rsidR="00E67C99" w:rsidRPr="007F211A">
        <w:rPr>
          <w:rFonts w:asciiTheme="majorBidi" w:hAnsiTheme="majorBidi" w:cstheme="majorBidi"/>
          <w:bCs/>
        </w:rPr>
        <w:t xml:space="preserve"> Selection of the countries was done to, among other things, leverage resources from other LPI</w:t>
      </w:r>
      <w:r w:rsidR="00CE243F" w:rsidRPr="007F211A">
        <w:rPr>
          <w:rFonts w:asciiTheme="majorBidi" w:hAnsiTheme="majorBidi" w:cstheme="majorBidi"/>
          <w:bCs/>
        </w:rPr>
        <w:t xml:space="preserve"> and partner</w:t>
      </w:r>
      <w:r w:rsidR="00E67C99" w:rsidRPr="007F211A">
        <w:rPr>
          <w:rFonts w:asciiTheme="majorBidi" w:hAnsiTheme="majorBidi" w:cstheme="majorBidi"/>
          <w:bCs/>
        </w:rPr>
        <w:t xml:space="preserve"> initiatives </w:t>
      </w:r>
      <w:r w:rsidR="00CE243F" w:rsidRPr="007F211A">
        <w:rPr>
          <w:rFonts w:asciiTheme="majorBidi" w:hAnsiTheme="majorBidi" w:cstheme="majorBidi"/>
          <w:bCs/>
        </w:rPr>
        <w:t xml:space="preserve">on land </w:t>
      </w:r>
      <w:r w:rsidR="00E67C99" w:rsidRPr="007F211A">
        <w:rPr>
          <w:rFonts w:asciiTheme="majorBidi" w:hAnsiTheme="majorBidi" w:cstheme="majorBidi"/>
          <w:bCs/>
        </w:rPr>
        <w:t>at country level.</w:t>
      </w:r>
    </w:p>
    <w:p w:rsidR="00CE243F" w:rsidRDefault="00CE243F" w:rsidP="00976670">
      <w:pPr>
        <w:jc w:val="both"/>
        <w:rPr>
          <w:rFonts w:asciiTheme="majorBidi" w:hAnsiTheme="majorBidi" w:cstheme="majorBidi"/>
          <w:bCs/>
        </w:rPr>
      </w:pPr>
    </w:p>
    <w:p w:rsidR="00BC3956" w:rsidRPr="00C024DE" w:rsidRDefault="00C024DE" w:rsidP="00976670">
      <w:pPr>
        <w:spacing w:after="160"/>
        <w:rPr>
          <w:rFonts w:asciiTheme="majorBidi" w:hAnsiTheme="majorBidi" w:cstheme="majorBidi"/>
          <w:b/>
          <w:bCs/>
        </w:rPr>
      </w:pPr>
      <w:r w:rsidRPr="00C024DE">
        <w:rPr>
          <w:rFonts w:asciiTheme="majorBidi" w:hAnsiTheme="majorBidi" w:cstheme="majorBidi"/>
          <w:b/>
          <w:bCs/>
        </w:rPr>
        <w:t>GENDER, WOMEN AND LAND</w:t>
      </w:r>
    </w:p>
    <w:p w:rsidR="0009780A" w:rsidRPr="0052186B" w:rsidRDefault="00564BE5" w:rsidP="0052186B">
      <w:pPr>
        <w:pStyle w:val="ListParagraph"/>
        <w:numPr>
          <w:ilvl w:val="0"/>
          <w:numId w:val="20"/>
        </w:numPr>
        <w:ind w:left="0"/>
        <w:jc w:val="both"/>
        <w:rPr>
          <w:rFonts w:asciiTheme="majorBidi" w:hAnsiTheme="majorBidi" w:cstheme="majorBidi"/>
          <w:bCs/>
        </w:rPr>
      </w:pPr>
      <w:r w:rsidRPr="0052186B">
        <w:rPr>
          <w:rFonts w:asciiTheme="majorBidi" w:hAnsiTheme="majorBidi" w:cstheme="majorBidi"/>
          <w:bCs/>
        </w:rPr>
        <w:t xml:space="preserve">In endorsing the 2009 AU Declaration on Land, the African Heads of State and Government “resolved to strengthen security of land tenure for women </w:t>
      </w:r>
      <w:r w:rsidR="0009780A" w:rsidRPr="0052186B">
        <w:rPr>
          <w:rFonts w:asciiTheme="majorBidi" w:hAnsiTheme="majorBidi" w:cstheme="majorBidi"/>
          <w:bCs/>
        </w:rPr>
        <w:t>which require special attention</w:t>
      </w:r>
      <w:r w:rsidRPr="0052186B">
        <w:rPr>
          <w:rFonts w:asciiTheme="majorBidi" w:hAnsiTheme="majorBidi" w:cstheme="majorBidi"/>
          <w:bCs/>
        </w:rPr>
        <w:t xml:space="preserve">”  </w:t>
      </w:r>
      <w:r w:rsidR="0009780A" w:rsidRPr="0052186B">
        <w:rPr>
          <w:rFonts w:asciiTheme="majorBidi" w:hAnsiTheme="majorBidi" w:cstheme="majorBidi"/>
          <w:bCs/>
        </w:rPr>
        <w:t xml:space="preserve"> and “ensure that land laws provide for equitable access to land and related resources …” </w:t>
      </w:r>
      <w:r w:rsidR="00BE6E20" w:rsidRPr="0052186B">
        <w:rPr>
          <w:rFonts w:asciiTheme="majorBidi" w:hAnsiTheme="majorBidi" w:cstheme="majorBidi"/>
          <w:bCs/>
        </w:rPr>
        <w:t xml:space="preserve">Following careful examination of </w:t>
      </w:r>
      <w:r w:rsidR="005A27CE">
        <w:rPr>
          <w:rFonts w:asciiTheme="majorBidi" w:hAnsiTheme="majorBidi" w:cstheme="majorBidi"/>
          <w:bCs/>
        </w:rPr>
        <w:t xml:space="preserve">the </w:t>
      </w:r>
      <w:r w:rsidR="0009780A" w:rsidRPr="0052186B">
        <w:rPr>
          <w:rFonts w:asciiTheme="majorBidi" w:hAnsiTheme="majorBidi" w:cstheme="majorBidi"/>
          <w:bCs/>
        </w:rPr>
        <w:t xml:space="preserve">findings and recommendations </w:t>
      </w:r>
      <w:r w:rsidR="005A27CE">
        <w:rPr>
          <w:rFonts w:asciiTheme="majorBidi" w:hAnsiTheme="majorBidi" w:cstheme="majorBidi"/>
          <w:bCs/>
        </w:rPr>
        <w:t>of</w:t>
      </w:r>
      <w:r w:rsidR="005A27CE" w:rsidRPr="0052186B">
        <w:rPr>
          <w:rFonts w:asciiTheme="majorBidi" w:hAnsiTheme="majorBidi" w:cstheme="majorBidi"/>
          <w:bCs/>
        </w:rPr>
        <w:t xml:space="preserve"> </w:t>
      </w:r>
      <w:r w:rsidR="0009780A" w:rsidRPr="0052186B">
        <w:rPr>
          <w:rFonts w:asciiTheme="majorBidi" w:hAnsiTheme="majorBidi" w:cstheme="majorBidi"/>
          <w:bCs/>
        </w:rPr>
        <w:t xml:space="preserve">an LPI </w:t>
      </w:r>
      <w:r w:rsidR="00BE6E20" w:rsidRPr="0052186B">
        <w:rPr>
          <w:rFonts w:asciiTheme="majorBidi" w:hAnsiTheme="majorBidi" w:cstheme="majorBidi"/>
          <w:bCs/>
        </w:rPr>
        <w:t>assessment</w:t>
      </w:r>
      <w:r w:rsidR="0009780A" w:rsidRPr="0052186B">
        <w:rPr>
          <w:rFonts w:asciiTheme="majorBidi" w:hAnsiTheme="majorBidi" w:cstheme="majorBidi"/>
          <w:bCs/>
        </w:rPr>
        <w:t xml:space="preserve"> study on the status </w:t>
      </w:r>
      <w:r w:rsidR="0009780A" w:rsidRPr="0052186B">
        <w:rPr>
          <w:rFonts w:asciiTheme="majorBidi" w:hAnsiTheme="majorBidi" w:cstheme="majorBidi"/>
          <w:bCs/>
        </w:rPr>
        <w:lastRenderedPageBreak/>
        <w:t>of</w:t>
      </w:r>
      <w:r w:rsidR="00BE6E20" w:rsidRPr="0052186B">
        <w:rPr>
          <w:rFonts w:asciiTheme="majorBidi" w:hAnsiTheme="majorBidi" w:cstheme="majorBidi"/>
          <w:bCs/>
        </w:rPr>
        <w:t xml:space="preserve"> women</w:t>
      </w:r>
      <w:r w:rsidR="0009780A" w:rsidRPr="0052186B">
        <w:rPr>
          <w:rFonts w:asciiTheme="majorBidi" w:hAnsiTheme="majorBidi" w:cstheme="majorBidi"/>
          <w:bCs/>
        </w:rPr>
        <w:t>’s</w:t>
      </w:r>
      <w:r w:rsidR="00BE6E20" w:rsidRPr="0052186B">
        <w:rPr>
          <w:rFonts w:asciiTheme="majorBidi" w:hAnsiTheme="majorBidi" w:cstheme="majorBidi"/>
          <w:bCs/>
        </w:rPr>
        <w:t xml:space="preserve"> land rights, the inaugural STC on agriculture, rural development, water and environment </w:t>
      </w:r>
      <w:r w:rsidR="0009780A" w:rsidRPr="0052186B">
        <w:rPr>
          <w:rFonts w:asciiTheme="majorBidi" w:hAnsiTheme="majorBidi" w:cstheme="majorBidi"/>
          <w:bCs/>
        </w:rPr>
        <w:t xml:space="preserve">recommended that Member States allocate 30% of documented land rights to women and improve land rights of women through legislative/other mechanisms. </w:t>
      </w:r>
    </w:p>
    <w:p w:rsidR="00B623B9" w:rsidRDefault="00B623B9" w:rsidP="00976670">
      <w:pPr>
        <w:jc w:val="both"/>
        <w:rPr>
          <w:rFonts w:asciiTheme="majorBidi" w:hAnsiTheme="majorBidi" w:cstheme="majorBidi"/>
          <w:bCs/>
        </w:rPr>
      </w:pPr>
    </w:p>
    <w:p w:rsidR="0009780A" w:rsidRPr="000F5B92" w:rsidRDefault="00B623B9" w:rsidP="000F5B92">
      <w:pPr>
        <w:pStyle w:val="ListParagraph"/>
        <w:numPr>
          <w:ilvl w:val="0"/>
          <w:numId w:val="20"/>
        </w:numPr>
        <w:ind w:left="0" w:hanging="450"/>
        <w:jc w:val="both"/>
        <w:rPr>
          <w:rFonts w:asciiTheme="majorBidi" w:hAnsiTheme="majorBidi" w:cstheme="majorBidi"/>
          <w:bCs/>
        </w:rPr>
      </w:pPr>
      <w:r w:rsidRPr="000F5B92">
        <w:rPr>
          <w:rFonts w:asciiTheme="majorBidi" w:hAnsiTheme="majorBidi" w:cstheme="majorBidi"/>
          <w:bCs/>
        </w:rPr>
        <w:t>Over the last two years</w:t>
      </w:r>
      <w:r w:rsidR="0009780A" w:rsidRPr="000F5B92">
        <w:rPr>
          <w:rFonts w:asciiTheme="majorBidi" w:hAnsiTheme="majorBidi" w:cstheme="majorBidi"/>
          <w:bCs/>
        </w:rPr>
        <w:t xml:space="preserve"> the LPI has </w:t>
      </w:r>
      <w:r w:rsidR="00D77BFE" w:rsidRPr="000F5B92">
        <w:rPr>
          <w:rFonts w:asciiTheme="majorBidi" w:hAnsiTheme="majorBidi" w:cstheme="majorBidi"/>
          <w:bCs/>
        </w:rPr>
        <w:t xml:space="preserve">advocated for </w:t>
      </w:r>
      <w:r w:rsidR="005D1DDB">
        <w:rPr>
          <w:rFonts w:asciiTheme="majorBidi" w:hAnsiTheme="majorBidi" w:cstheme="majorBidi"/>
          <w:bCs/>
        </w:rPr>
        <w:t xml:space="preserve">the </w:t>
      </w:r>
      <w:r w:rsidRPr="000F5B92">
        <w:rPr>
          <w:rFonts w:asciiTheme="majorBidi" w:hAnsiTheme="majorBidi" w:cstheme="majorBidi"/>
          <w:bCs/>
        </w:rPr>
        <w:t xml:space="preserve">30% target for women’s land rights through: i) </w:t>
      </w:r>
      <w:r w:rsidR="005A27CE">
        <w:rPr>
          <w:rFonts w:asciiTheme="majorBidi" w:hAnsiTheme="majorBidi" w:cstheme="majorBidi"/>
          <w:bCs/>
        </w:rPr>
        <w:t xml:space="preserve">the </w:t>
      </w:r>
      <w:r w:rsidR="00D77BFE" w:rsidRPr="000F5B92">
        <w:rPr>
          <w:rFonts w:asciiTheme="majorBidi" w:hAnsiTheme="majorBidi" w:cstheme="majorBidi"/>
          <w:bCs/>
        </w:rPr>
        <w:t>launch of the</w:t>
      </w:r>
      <w:r w:rsidR="0009780A" w:rsidRPr="000F5B92">
        <w:rPr>
          <w:rFonts w:asciiTheme="majorBidi" w:hAnsiTheme="majorBidi" w:cstheme="majorBidi"/>
          <w:bCs/>
        </w:rPr>
        <w:t xml:space="preserve"> 30% campaign for women’</w:t>
      </w:r>
      <w:r w:rsidRPr="000F5B92">
        <w:rPr>
          <w:rFonts w:asciiTheme="majorBidi" w:hAnsiTheme="majorBidi" w:cstheme="majorBidi"/>
          <w:bCs/>
        </w:rPr>
        <w:t xml:space="preserve">s land rights </w:t>
      </w:r>
      <w:r w:rsidR="0009780A" w:rsidRPr="000F5B92">
        <w:rPr>
          <w:rFonts w:asciiTheme="majorBidi" w:hAnsiTheme="majorBidi" w:cstheme="majorBidi"/>
          <w:bCs/>
        </w:rPr>
        <w:t xml:space="preserve">alongside the AU Summit in </w:t>
      </w:r>
      <w:r w:rsidRPr="000F5B92">
        <w:rPr>
          <w:rFonts w:asciiTheme="majorBidi" w:hAnsiTheme="majorBidi" w:cstheme="majorBidi"/>
          <w:bCs/>
        </w:rPr>
        <w:t xml:space="preserve">Kigali, Rwanda in </w:t>
      </w:r>
      <w:r w:rsidR="0009780A" w:rsidRPr="000F5B92">
        <w:rPr>
          <w:rFonts w:asciiTheme="majorBidi" w:hAnsiTheme="majorBidi" w:cstheme="majorBidi"/>
          <w:bCs/>
        </w:rPr>
        <w:t>June 2016</w:t>
      </w:r>
      <w:r w:rsidRPr="000F5B92">
        <w:rPr>
          <w:rFonts w:asciiTheme="majorBidi" w:hAnsiTheme="majorBidi" w:cstheme="majorBidi"/>
          <w:bCs/>
        </w:rPr>
        <w:t>; ii) Advocacy for the 30% target</w:t>
      </w:r>
      <w:r w:rsidR="005D1DDB">
        <w:rPr>
          <w:rFonts w:asciiTheme="majorBidi" w:hAnsiTheme="majorBidi" w:cstheme="majorBidi"/>
          <w:bCs/>
        </w:rPr>
        <w:t xml:space="preserve">, eventually </w:t>
      </w:r>
      <w:r w:rsidR="00D77BFE" w:rsidRPr="000F5B92">
        <w:rPr>
          <w:rFonts w:asciiTheme="majorBidi" w:hAnsiTheme="majorBidi" w:cstheme="majorBidi"/>
          <w:bCs/>
        </w:rPr>
        <w:t>endorsed in a ‘</w:t>
      </w:r>
      <w:r w:rsidR="00D77BFE" w:rsidRPr="003450B1">
        <w:rPr>
          <w:rFonts w:asciiTheme="majorBidi" w:hAnsiTheme="majorBidi" w:cstheme="majorBidi"/>
          <w:bCs/>
        </w:rPr>
        <w:t>Women’s Charter’</w:t>
      </w:r>
      <w:r w:rsidR="00D77BFE" w:rsidRPr="000F5B92">
        <w:rPr>
          <w:rFonts w:asciiTheme="majorBidi" w:hAnsiTheme="majorBidi" w:cstheme="majorBidi"/>
          <w:bCs/>
        </w:rPr>
        <w:t xml:space="preserve"> </w:t>
      </w:r>
      <w:r w:rsidRPr="000F5B92">
        <w:rPr>
          <w:rFonts w:asciiTheme="majorBidi" w:hAnsiTheme="majorBidi" w:cstheme="majorBidi"/>
          <w:bCs/>
        </w:rPr>
        <w:t xml:space="preserve"> at the Kilimanjaro </w:t>
      </w:r>
      <w:r w:rsidR="00050154">
        <w:rPr>
          <w:rFonts w:asciiTheme="majorBidi" w:hAnsiTheme="majorBidi" w:cstheme="majorBidi"/>
          <w:bCs/>
        </w:rPr>
        <w:t>I</w:t>
      </w:r>
      <w:r w:rsidRPr="000F5B92">
        <w:rPr>
          <w:rFonts w:asciiTheme="majorBidi" w:hAnsiTheme="majorBidi" w:cstheme="majorBidi"/>
          <w:bCs/>
        </w:rPr>
        <w:t xml:space="preserve">nitiative </w:t>
      </w:r>
      <w:r w:rsidR="00D77BFE" w:rsidRPr="000F5B92">
        <w:rPr>
          <w:rFonts w:asciiTheme="majorBidi" w:hAnsiTheme="majorBidi" w:cstheme="majorBidi"/>
          <w:bCs/>
        </w:rPr>
        <w:t xml:space="preserve">by </w:t>
      </w:r>
      <w:r w:rsidRPr="000F5B92">
        <w:rPr>
          <w:rFonts w:asciiTheme="majorBidi" w:hAnsiTheme="majorBidi" w:cstheme="majorBidi"/>
          <w:bCs/>
        </w:rPr>
        <w:t>grassroots women</w:t>
      </w:r>
      <w:r w:rsidR="00D77BFE" w:rsidRPr="000F5B92">
        <w:rPr>
          <w:rFonts w:asciiTheme="majorBidi" w:hAnsiTheme="majorBidi" w:cstheme="majorBidi"/>
          <w:bCs/>
        </w:rPr>
        <w:t xml:space="preserve"> in Kilimanjaro,</w:t>
      </w:r>
      <w:r w:rsidRPr="000F5B92">
        <w:rPr>
          <w:rFonts w:asciiTheme="majorBidi" w:hAnsiTheme="majorBidi" w:cstheme="majorBidi"/>
          <w:bCs/>
        </w:rPr>
        <w:t xml:space="preserve"> Tanzania in October 2016;</w:t>
      </w:r>
      <w:r w:rsidR="00D77BFE" w:rsidRPr="000F5B92">
        <w:rPr>
          <w:rFonts w:asciiTheme="majorBidi" w:hAnsiTheme="majorBidi" w:cstheme="majorBidi"/>
          <w:bCs/>
        </w:rPr>
        <w:t xml:space="preserve"> and</w:t>
      </w:r>
      <w:r w:rsidRPr="000F5B92">
        <w:rPr>
          <w:rFonts w:asciiTheme="majorBidi" w:hAnsiTheme="majorBidi" w:cstheme="majorBidi"/>
          <w:bCs/>
        </w:rPr>
        <w:t xml:space="preserve"> iii) </w:t>
      </w:r>
      <w:r w:rsidR="00D249B6" w:rsidRPr="000F5B92">
        <w:rPr>
          <w:rFonts w:asciiTheme="majorBidi" w:hAnsiTheme="majorBidi" w:cstheme="majorBidi"/>
          <w:bCs/>
        </w:rPr>
        <w:t xml:space="preserve">garnered </w:t>
      </w:r>
      <w:r w:rsidR="005D1DDB">
        <w:rPr>
          <w:rFonts w:asciiTheme="majorBidi" w:hAnsiTheme="majorBidi" w:cstheme="majorBidi"/>
          <w:bCs/>
        </w:rPr>
        <w:t xml:space="preserve">global </w:t>
      </w:r>
      <w:r w:rsidR="00D249B6" w:rsidRPr="000F5B92">
        <w:rPr>
          <w:rFonts w:asciiTheme="majorBidi" w:hAnsiTheme="majorBidi" w:cstheme="majorBidi"/>
          <w:bCs/>
        </w:rPr>
        <w:t xml:space="preserve">commitment </w:t>
      </w:r>
      <w:r w:rsidR="005D1DDB">
        <w:rPr>
          <w:rFonts w:asciiTheme="majorBidi" w:hAnsiTheme="majorBidi" w:cstheme="majorBidi"/>
          <w:bCs/>
        </w:rPr>
        <w:t>at</w:t>
      </w:r>
      <w:r w:rsidRPr="000F5B92">
        <w:rPr>
          <w:rFonts w:asciiTheme="majorBidi" w:hAnsiTheme="majorBidi" w:cstheme="majorBidi"/>
          <w:bCs/>
        </w:rPr>
        <w:t xml:space="preserve"> a</w:t>
      </w:r>
      <w:r w:rsidR="005D1DDB">
        <w:rPr>
          <w:rFonts w:asciiTheme="majorBidi" w:hAnsiTheme="majorBidi" w:cstheme="majorBidi"/>
          <w:bCs/>
        </w:rPr>
        <w:t xml:space="preserve">n </w:t>
      </w:r>
      <w:r w:rsidRPr="000F5B92">
        <w:rPr>
          <w:rFonts w:asciiTheme="majorBidi" w:hAnsiTheme="majorBidi" w:cstheme="majorBidi"/>
          <w:bCs/>
        </w:rPr>
        <w:t>event</w:t>
      </w:r>
      <w:r w:rsidR="00D249B6" w:rsidRPr="000F5B92">
        <w:rPr>
          <w:rFonts w:asciiTheme="majorBidi" w:hAnsiTheme="majorBidi" w:cstheme="majorBidi"/>
          <w:bCs/>
        </w:rPr>
        <w:t xml:space="preserve"> </w:t>
      </w:r>
      <w:r w:rsidR="005D1DDB">
        <w:rPr>
          <w:rFonts w:asciiTheme="majorBidi" w:hAnsiTheme="majorBidi" w:cstheme="majorBidi"/>
          <w:bCs/>
        </w:rPr>
        <w:t xml:space="preserve">at </w:t>
      </w:r>
      <w:r w:rsidRPr="000F5B92">
        <w:rPr>
          <w:rFonts w:asciiTheme="majorBidi" w:hAnsiTheme="majorBidi" w:cstheme="majorBidi"/>
          <w:bCs/>
        </w:rPr>
        <w:t xml:space="preserve">the Committee </w:t>
      </w:r>
      <w:r w:rsidR="000F68F9">
        <w:rPr>
          <w:rFonts w:asciiTheme="majorBidi" w:hAnsiTheme="majorBidi" w:cstheme="majorBidi"/>
          <w:bCs/>
        </w:rPr>
        <w:t xml:space="preserve">on </w:t>
      </w:r>
      <w:r w:rsidRPr="000F5B92">
        <w:rPr>
          <w:rFonts w:asciiTheme="majorBidi" w:hAnsiTheme="majorBidi" w:cstheme="majorBidi"/>
          <w:bCs/>
        </w:rPr>
        <w:t>World Food Security (CFS)</w:t>
      </w:r>
      <w:r w:rsidR="005D1DDB">
        <w:rPr>
          <w:rFonts w:asciiTheme="majorBidi" w:hAnsiTheme="majorBidi" w:cstheme="majorBidi"/>
          <w:bCs/>
        </w:rPr>
        <w:t xml:space="preserve"> in October 2016 in Rome, Italy; iv) </w:t>
      </w:r>
      <w:r w:rsidR="005D1DDB" w:rsidRPr="000F5B92">
        <w:rPr>
          <w:rFonts w:asciiTheme="majorBidi" w:hAnsiTheme="majorBidi" w:cstheme="majorBidi"/>
          <w:bCs/>
        </w:rPr>
        <w:t>awareness raising side event at the Committee on the Status of Women (CSW</w:t>
      </w:r>
      <w:r w:rsidR="005D1DDB">
        <w:rPr>
          <w:rFonts w:asciiTheme="majorBidi" w:hAnsiTheme="majorBidi" w:cstheme="majorBidi"/>
          <w:bCs/>
        </w:rPr>
        <w:t xml:space="preserve">) in New York in March 2017; v) awareness raised </w:t>
      </w:r>
      <w:r w:rsidR="005D1DDB" w:rsidRPr="000F5B92">
        <w:rPr>
          <w:rFonts w:asciiTheme="majorBidi" w:hAnsiTheme="majorBidi" w:cstheme="majorBidi"/>
          <w:bCs/>
        </w:rPr>
        <w:t>at the a</w:t>
      </w:r>
      <w:r w:rsidR="005D1DDB">
        <w:rPr>
          <w:rFonts w:asciiTheme="majorBidi" w:hAnsiTheme="majorBidi" w:cstheme="majorBidi"/>
          <w:bCs/>
        </w:rPr>
        <w:t xml:space="preserve"> Pan </w:t>
      </w:r>
      <w:r w:rsidR="005D1DDB" w:rsidRPr="000F5B92">
        <w:rPr>
          <w:rFonts w:asciiTheme="majorBidi" w:hAnsiTheme="majorBidi" w:cstheme="majorBidi"/>
          <w:bCs/>
        </w:rPr>
        <w:t>African Parliament in August 2017</w:t>
      </w:r>
      <w:r w:rsidR="005D1DDB">
        <w:rPr>
          <w:rFonts w:asciiTheme="majorBidi" w:hAnsiTheme="majorBidi" w:cstheme="majorBidi"/>
          <w:bCs/>
        </w:rPr>
        <w:t xml:space="preserve">. </w:t>
      </w:r>
      <w:r w:rsidR="00D77BFE" w:rsidRPr="000F5B92">
        <w:rPr>
          <w:rFonts w:asciiTheme="majorBidi" w:hAnsiTheme="majorBidi" w:cstheme="majorBidi"/>
          <w:bCs/>
        </w:rPr>
        <w:t xml:space="preserve"> In 2016, the LPI and Landesa started implementation of a project to promote gender and women’s land rights, including </w:t>
      </w:r>
      <w:r w:rsidR="000F68F9">
        <w:rPr>
          <w:rFonts w:asciiTheme="majorBidi" w:hAnsiTheme="majorBidi" w:cstheme="majorBidi"/>
          <w:bCs/>
        </w:rPr>
        <w:t xml:space="preserve">the </w:t>
      </w:r>
      <w:r w:rsidR="00D77BFE" w:rsidRPr="000F5B92">
        <w:rPr>
          <w:rFonts w:asciiTheme="majorBidi" w:hAnsiTheme="majorBidi" w:cstheme="majorBidi"/>
          <w:bCs/>
        </w:rPr>
        <w:t xml:space="preserve">30% campaign. In this regard, a gender </w:t>
      </w:r>
      <w:r w:rsidR="005A27CE">
        <w:rPr>
          <w:rFonts w:asciiTheme="majorBidi" w:hAnsiTheme="majorBidi" w:cstheme="majorBidi"/>
          <w:bCs/>
        </w:rPr>
        <w:t xml:space="preserve">and land </w:t>
      </w:r>
      <w:r w:rsidR="00D77BFE" w:rsidRPr="000F5B92">
        <w:rPr>
          <w:rFonts w:asciiTheme="majorBidi" w:hAnsiTheme="majorBidi" w:cstheme="majorBidi"/>
          <w:bCs/>
        </w:rPr>
        <w:t xml:space="preserve">expert was seconded by Landesa to the LPI with a grant from the Packard Foundation. </w:t>
      </w:r>
      <w:r w:rsidR="005D1DDB">
        <w:rPr>
          <w:rFonts w:asciiTheme="majorBidi" w:hAnsiTheme="majorBidi" w:cstheme="majorBidi"/>
          <w:bCs/>
        </w:rPr>
        <w:t xml:space="preserve">In addition to advocacy for the 30% campaign, other </w:t>
      </w:r>
      <w:r w:rsidR="00D77BFE" w:rsidRPr="000F5B92">
        <w:rPr>
          <w:rFonts w:asciiTheme="majorBidi" w:hAnsiTheme="majorBidi" w:cstheme="majorBidi"/>
          <w:bCs/>
        </w:rPr>
        <w:t xml:space="preserve">results achieved include: </w:t>
      </w:r>
      <w:r w:rsidR="00D249B6" w:rsidRPr="000F5B92">
        <w:rPr>
          <w:rFonts w:asciiTheme="majorBidi" w:hAnsiTheme="majorBidi" w:cstheme="majorBidi"/>
          <w:bCs/>
        </w:rPr>
        <w:t xml:space="preserve">development of training modules on gender mainstreaming in land governance; ensuring gender is mainstreamed in the </w:t>
      </w:r>
      <w:r w:rsidR="00D249B6" w:rsidRPr="006E721B">
        <w:rPr>
          <w:rFonts w:asciiTheme="majorBidi" w:hAnsiTheme="majorBidi" w:cstheme="majorBidi"/>
          <w:bCs/>
          <w:i/>
        </w:rPr>
        <w:t xml:space="preserve">Guidelines for </w:t>
      </w:r>
      <w:r w:rsidR="000F68F9" w:rsidRPr="006E721B">
        <w:rPr>
          <w:rFonts w:asciiTheme="majorBidi" w:hAnsiTheme="majorBidi" w:cstheme="majorBidi"/>
          <w:bCs/>
          <w:i/>
        </w:rPr>
        <w:t>C</w:t>
      </w:r>
      <w:r w:rsidR="00D249B6" w:rsidRPr="006E721B">
        <w:rPr>
          <w:rFonts w:asciiTheme="majorBidi" w:hAnsiTheme="majorBidi" w:cstheme="majorBidi"/>
          <w:bCs/>
          <w:i/>
        </w:rPr>
        <w:t>urricula</w:t>
      </w:r>
      <w:r w:rsidR="000F68F9" w:rsidRPr="006E721B">
        <w:rPr>
          <w:rFonts w:asciiTheme="majorBidi" w:hAnsiTheme="majorBidi" w:cstheme="majorBidi"/>
          <w:bCs/>
          <w:i/>
        </w:rPr>
        <w:t xml:space="preserve"> </w:t>
      </w:r>
      <w:r w:rsidR="005A27CE">
        <w:rPr>
          <w:rFonts w:asciiTheme="majorBidi" w:hAnsiTheme="majorBidi" w:cstheme="majorBidi"/>
          <w:bCs/>
          <w:i/>
        </w:rPr>
        <w:t>D</w:t>
      </w:r>
      <w:r w:rsidR="000F68F9" w:rsidRPr="006E721B">
        <w:rPr>
          <w:rFonts w:asciiTheme="majorBidi" w:hAnsiTheme="majorBidi" w:cstheme="majorBidi"/>
          <w:bCs/>
          <w:i/>
        </w:rPr>
        <w:t>evelopment on Land Governance in Africa</w:t>
      </w:r>
      <w:r w:rsidR="00D249B6" w:rsidRPr="006E721B">
        <w:rPr>
          <w:rFonts w:asciiTheme="majorBidi" w:hAnsiTheme="majorBidi" w:cstheme="majorBidi"/>
          <w:bCs/>
          <w:i/>
        </w:rPr>
        <w:t>,</w:t>
      </w:r>
      <w:r w:rsidR="00D249B6" w:rsidRPr="000F5B92">
        <w:rPr>
          <w:rFonts w:asciiTheme="majorBidi" w:hAnsiTheme="majorBidi" w:cstheme="majorBidi"/>
          <w:bCs/>
        </w:rPr>
        <w:t xml:space="preserve"> and the monitoring and evaluation framework for land governance.</w:t>
      </w:r>
    </w:p>
    <w:p w:rsidR="00A21968" w:rsidRDefault="00A21968" w:rsidP="00976670">
      <w:pPr>
        <w:jc w:val="both"/>
        <w:rPr>
          <w:rFonts w:asciiTheme="majorBidi" w:hAnsiTheme="majorBidi" w:cstheme="majorBidi"/>
          <w:bCs/>
        </w:rPr>
      </w:pPr>
    </w:p>
    <w:p w:rsidR="00A21968" w:rsidRPr="00EE35D5" w:rsidRDefault="009A6789" w:rsidP="00EE35D5">
      <w:pPr>
        <w:pStyle w:val="ListParagraph"/>
        <w:numPr>
          <w:ilvl w:val="0"/>
          <w:numId w:val="20"/>
        </w:numPr>
        <w:ind w:left="0"/>
        <w:jc w:val="both"/>
        <w:rPr>
          <w:rFonts w:asciiTheme="majorBidi" w:hAnsiTheme="majorBidi" w:cstheme="majorBidi"/>
          <w:bCs/>
        </w:rPr>
      </w:pPr>
      <w:r w:rsidRPr="00EE35D5">
        <w:rPr>
          <w:rFonts w:asciiTheme="majorBidi" w:hAnsiTheme="majorBidi" w:cstheme="majorBidi"/>
          <w:bCs/>
        </w:rPr>
        <w:t xml:space="preserve">In recognition of the need for sustained support to achieve the 30% target, a Gender, Women and Land programme </w:t>
      </w:r>
      <w:r w:rsidR="00860227" w:rsidRPr="00EE35D5">
        <w:rPr>
          <w:rFonts w:asciiTheme="majorBidi" w:hAnsiTheme="majorBidi" w:cstheme="majorBidi"/>
          <w:bCs/>
        </w:rPr>
        <w:t>h</w:t>
      </w:r>
      <w:r w:rsidRPr="00EE35D5">
        <w:rPr>
          <w:rFonts w:asciiTheme="majorBidi" w:hAnsiTheme="majorBidi" w:cstheme="majorBidi"/>
          <w:bCs/>
        </w:rPr>
        <w:t xml:space="preserve">as </w:t>
      </w:r>
      <w:r w:rsidR="00860227" w:rsidRPr="00EE35D5">
        <w:rPr>
          <w:rFonts w:asciiTheme="majorBidi" w:hAnsiTheme="majorBidi" w:cstheme="majorBidi"/>
          <w:bCs/>
        </w:rPr>
        <w:t xml:space="preserve">been included as </w:t>
      </w:r>
      <w:r w:rsidRPr="00EE35D5">
        <w:rPr>
          <w:rFonts w:asciiTheme="majorBidi" w:hAnsiTheme="majorBidi" w:cstheme="majorBidi"/>
          <w:bCs/>
        </w:rPr>
        <w:t xml:space="preserve">part of the African Land Policy Centre (ALPC) to coordinate implementation of commitments relating to women and land. </w:t>
      </w:r>
    </w:p>
    <w:p w:rsidR="00B623B9" w:rsidRPr="0009780A" w:rsidRDefault="00B623B9" w:rsidP="00976670">
      <w:pPr>
        <w:jc w:val="both"/>
        <w:rPr>
          <w:rFonts w:asciiTheme="majorBidi" w:hAnsiTheme="majorBidi" w:cstheme="majorBidi"/>
          <w:bCs/>
        </w:rPr>
      </w:pPr>
    </w:p>
    <w:p w:rsidR="00365A11" w:rsidRDefault="00365A11" w:rsidP="00976670">
      <w:pPr>
        <w:jc w:val="both"/>
        <w:rPr>
          <w:rFonts w:asciiTheme="majorBidi" w:hAnsiTheme="majorBidi" w:cstheme="majorBidi"/>
          <w:bCs/>
        </w:rPr>
      </w:pPr>
    </w:p>
    <w:p w:rsidR="00690151" w:rsidRPr="0089507B" w:rsidRDefault="00690151" w:rsidP="0089507B">
      <w:pPr>
        <w:spacing w:after="160"/>
        <w:rPr>
          <w:b/>
          <w:bCs/>
          <w:color w:val="0070C0"/>
          <w:sz w:val="28"/>
        </w:rPr>
      </w:pPr>
      <w:r w:rsidRPr="0089507B">
        <w:rPr>
          <w:b/>
          <w:color w:val="0070C0"/>
          <w:sz w:val="28"/>
        </w:rPr>
        <w:t>PART III:  KEY RESEARCH FINDINGS ON LAND GOVERNANCE IN AFRICA</w:t>
      </w:r>
    </w:p>
    <w:p w:rsidR="00690151" w:rsidRDefault="00690151" w:rsidP="00976670">
      <w:pPr>
        <w:rPr>
          <w:b/>
        </w:rPr>
      </w:pPr>
    </w:p>
    <w:p w:rsidR="00365A11" w:rsidRDefault="00365A11" w:rsidP="00976670">
      <w:pPr>
        <w:rPr>
          <w:b/>
        </w:rPr>
      </w:pPr>
      <w:r>
        <w:rPr>
          <w:b/>
        </w:rPr>
        <w:t xml:space="preserve">LAND, ETHNICITY AND CONFLICT IN AFRICA  </w:t>
      </w:r>
    </w:p>
    <w:p w:rsidR="00365A11" w:rsidRDefault="00365A11" w:rsidP="00976670">
      <w:pPr>
        <w:jc w:val="center"/>
      </w:pPr>
    </w:p>
    <w:p w:rsidR="00365A11" w:rsidRDefault="00233FCF" w:rsidP="00001A2F">
      <w:pPr>
        <w:pStyle w:val="ListParagraph"/>
        <w:numPr>
          <w:ilvl w:val="0"/>
          <w:numId w:val="20"/>
        </w:numPr>
        <w:spacing w:after="240"/>
        <w:ind w:left="0"/>
        <w:jc w:val="both"/>
        <w:rPr>
          <w:i/>
        </w:rPr>
      </w:pPr>
      <w:r>
        <w:t xml:space="preserve">The </w:t>
      </w:r>
      <w:r w:rsidR="00E95C15">
        <w:t xml:space="preserve">LPI </w:t>
      </w:r>
      <w:r w:rsidR="00365A11">
        <w:t xml:space="preserve">spearheaded </w:t>
      </w:r>
      <w:r>
        <w:t>a</w:t>
      </w:r>
      <w:r w:rsidR="00365A11">
        <w:t xml:space="preserve"> study on </w:t>
      </w:r>
      <w:r w:rsidR="00365A11" w:rsidRPr="00EE35D5">
        <w:rPr>
          <w:i/>
        </w:rPr>
        <w:t>Land, Ethnicity and Conflicts in Africa</w:t>
      </w:r>
      <w:r w:rsidR="00E95C15">
        <w:t xml:space="preserve"> </w:t>
      </w:r>
      <w:r w:rsidR="00365A11">
        <w:t>to increase knowledge on land related ethnic conflicts a</w:t>
      </w:r>
      <w:r w:rsidR="00E95C15">
        <w:t>nd enhance peace and security</w:t>
      </w:r>
      <w:r w:rsidR="00365A11">
        <w:t xml:space="preserve">.  Moreover, the resolution of conflicts is a strong </w:t>
      </w:r>
      <w:r w:rsidR="00E95C15">
        <w:t xml:space="preserve">basis for </w:t>
      </w:r>
      <w:r w:rsidR="007C7F65">
        <w:t>achieving</w:t>
      </w:r>
      <w:r w:rsidR="00365A11">
        <w:t xml:space="preserve"> sustainable development towards Africa’s Agenda 2063 and the </w:t>
      </w:r>
      <w:r w:rsidR="00E95C15">
        <w:t>SDGs</w:t>
      </w:r>
      <w:r w:rsidR="00365A11">
        <w:t xml:space="preserve">.  </w:t>
      </w:r>
      <w:r w:rsidR="007C7F65">
        <w:t>Evidence generated in this</w:t>
      </w:r>
      <w:r w:rsidR="00365A11">
        <w:t xml:space="preserve"> study will contribute to addressing the root causes of the conflicts</w:t>
      </w:r>
      <w:r w:rsidR="007C7F65">
        <w:t>,</w:t>
      </w:r>
      <w:r w:rsidR="00365A11">
        <w:t xml:space="preserve"> through development </w:t>
      </w:r>
      <w:r w:rsidR="00E95C15">
        <w:t>of land policies</w:t>
      </w:r>
      <w:r w:rsidR="00365A11">
        <w:t xml:space="preserve"> </w:t>
      </w:r>
      <w:r w:rsidR="007C7F65">
        <w:t>based on</w:t>
      </w:r>
      <w:r w:rsidR="00365A11">
        <w:t xml:space="preserve"> equity and equality principles embedded in</w:t>
      </w:r>
      <w:r w:rsidR="00620F72">
        <w:t xml:space="preserve"> </w:t>
      </w:r>
      <w:r w:rsidR="00365A11" w:rsidRPr="007C7F65">
        <w:t>the</w:t>
      </w:r>
      <w:r w:rsidR="00365A11" w:rsidRPr="00EE35D5">
        <w:rPr>
          <w:i/>
        </w:rPr>
        <w:t xml:space="preserve"> Framework and Guidelines on land Policy in Africa.</w:t>
      </w:r>
      <w:r w:rsidR="00EE35D5" w:rsidRPr="00EE35D5">
        <w:rPr>
          <w:i/>
        </w:rPr>
        <w:t xml:space="preserve"> </w:t>
      </w:r>
      <w:r w:rsidR="00365A11">
        <w:t>The study provide</w:t>
      </w:r>
      <w:r w:rsidR="00814F11">
        <w:t>s</w:t>
      </w:r>
      <w:r w:rsidR="00365A11">
        <w:t xml:space="preserve"> a historical background of ethnic identity in Africa</w:t>
      </w:r>
      <w:r w:rsidR="00620F72">
        <w:t>;</w:t>
      </w:r>
      <w:r w:rsidR="00365A11">
        <w:t xml:space="preserve"> </w:t>
      </w:r>
      <w:r w:rsidR="00814F11">
        <w:t>p</w:t>
      </w:r>
      <w:r w:rsidR="00365A11">
        <w:t>otential strengths and weaknesses of ethnic diversity in African societies; the nature of ethnic identity in contemporary Africa; review</w:t>
      </w:r>
      <w:r w:rsidR="00814F11">
        <w:t>s</w:t>
      </w:r>
      <w:r w:rsidR="00365A11">
        <w:t xml:space="preserve"> some of the conflicts in Africa and the extent to which </w:t>
      </w:r>
      <w:r w:rsidR="00821F94">
        <w:t xml:space="preserve">they were caused by </w:t>
      </w:r>
      <w:r w:rsidR="00365A11">
        <w:t xml:space="preserve">ethnicity and control over and access </w:t>
      </w:r>
      <w:r w:rsidR="00814F11">
        <w:t>to land resources</w:t>
      </w:r>
      <w:r w:rsidR="00821F94">
        <w:t xml:space="preserve">; </w:t>
      </w:r>
      <w:r w:rsidR="00365A11">
        <w:t>analyse</w:t>
      </w:r>
      <w:r w:rsidR="00821F94">
        <w:t>s</w:t>
      </w:r>
      <w:r w:rsidR="00365A11">
        <w:t xml:space="preserve"> the political and social roots of politicized ethnicity in Africa and the</w:t>
      </w:r>
      <w:r w:rsidR="00821F94">
        <w:t>ir</w:t>
      </w:r>
      <w:r w:rsidR="00365A11">
        <w:t xml:space="preserve"> links to  land; </w:t>
      </w:r>
      <w:r w:rsidR="00821F94">
        <w:t>identifies</w:t>
      </w:r>
      <w:r w:rsidR="00365A11">
        <w:t xml:space="preserve"> and analyse</w:t>
      </w:r>
      <w:r w:rsidR="00821F94">
        <w:t>s</w:t>
      </w:r>
      <w:r w:rsidR="00365A11">
        <w:t xml:space="preserve"> impacts of land and ethnic conflicts on livelihood stability and productivity; provide</w:t>
      </w:r>
      <w:r w:rsidR="00821F94">
        <w:t>s lessons a</w:t>
      </w:r>
      <w:r w:rsidR="00365A11">
        <w:t>nd draw</w:t>
      </w:r>
      <w:r w:rsidR="00821F94">
        <w:t>s</w:t>
      </w:r>
      <w:r w:rsidR="00365A11">
        <w:t xml:space="preserve"> best practices on how ethnic diversity in Africa could be used as a tool for peace-building and social harmony</w:t>
      </w:r>
      <w:r w:rsidR="00821F94">
        <w:t>. The report</w:t>
      </w:r>
      <w:r w:rsidR="00365A11">
        <w:t xml:space="preserve"> make</w:t>
      </w:r>
      <w:r w:rsidR="00821F94">
        <w:t>s</w:t>
      </w:r>
      <w:r w:rsidR="00365A11">
        <w:t xml:space="preserve"> recommendations on the best practices in land policy formulation in relation to ethnic diversity for sustainable socio economic and livelihoods devel</w:t>
      </w:r>
      <w:r w:rsidR="007C7F65">
        <w:t>opment in peace, social harmony.</w:t>
      </w:r>
    </w:p>
    <w:p w:rsidR="004636CC" w:rsidRPr="00EE35D5" w:rsidRDefault="004636CC" w:rsidP="004636CC">
      <w:pPr>
        <w:pStyle w:val="ListParagraph"/>
        <w:spacing w:after="240"/>
        <w:ind w:left="0"/>
        <w:jc w:val="both"/>
        <w:rPr>
          <w:i/>
        </w:rPr>
      </w:pPr>
    </w:p>
    <w:p w:rsidR="00365A11" w:rsidRDefault="00365A11" w:rsidP="00EE35D5">
      <w:pPr>
        <w:pStyle w:val="ListParagraph"/>
        <w:numPr>
          <w:ilvl w:val="0"/>
          <w:numId w:val="20"/>
        </w:numPr>
        <w:spacing w:after="240"/>
        <w:ind w:left="0"/>
        <w:jc w:val="both"/>
      </w:pPr>
      <w:r>
        <w:lastRenderedPageBreak/>
        <w:t xml:space="preserve">Land related ethnic conflicts in </w:t>
      </w:r>
      <w:r w:rsidR="00EC44DE">
        <w:t>Africa take different forms</w:t>
      </w:r>
      <w:r>
        <w:t>. Whereas some conflicts engulf the whole nation</w:t>
      </w:r>
      <w:r w:rsidR="00EC44DE">
        <w:t>,</w:t>
      </w:r>
      <w:r>
        <w:t xml:space="preserve"> </w:t>
      </w:r>
      <w:r w:rsidR="00EC44DE">
        <w:t>for instance,</w:t>
      </w:r>
      <w:r>
        <w:t xml:space="preserve"> in Burundi and Rwanda, others, such as the Eastern Democratic Republic of Congo (DRC), Northern Mali and Ivory Coast, are more localised. A causal analysis of these conflicts portrays strong interconnections with land grievances which could be resolved through inclusive land policies and the development of the capacity of land professionals so that they are conflict sensitive in the performance of their duties. The study shows that while some violent conflicts in many parts of Africa may be related to political exclusion, others are linked to climate change, inequitable access to land resources and the way social, economic and cultural concerns are handled by leaders</w:t>
      </w:r>
      <w:r w:rsidR="00EC44DE">
        <w:t xml:space="preserve"> and policy makers. Land is at t</w:t>
      </w:r>
      <w:r>
        <w:t>he core of live</w:t>
      </w:r>
      <w:r w:rsidR="00EC44DE">
        <w:t>lihoods</w:t>
      </w:r>
      <w:r>
        <w:t xml:space="preserve"> in Africa</w:t>
      </w:r>
      <w:r w:rsidR="00FF3BA5">
        <w:t xml:space="preserve"> hence</w:t>
      </w:r>
      <w:r>
        <w:t xml:space="preserve"> control, access and competition for land based resources </w:t>
      </w:r>
      <w:r w:rsidR="00FF3BA5">
        <w:t xml:space="preserve">is </w:t>
      </w:r>
      <w:r>
        <w:t xml:space="preserve">often used to </w:t>
      </w:r>
      <w:r w:rsidR="00FF3BA5">
        <w:t xml:space="preserve">propagate </w:t>
      </w:r>
      <w:r>
        <w:t>socio-economic inequalities. Consequently, ethnic identities are amplified, hardened and politicized in order to make cla</w:t>
      </w:r>
      <w:r w:rsidR="00646440">
        <w:t>ims over land and its resources.</w:t>
      </w:r>
      <w:r>
        <w:t xml:space="preserve">  </w:t>
      </w:r>
    </w:p>
    <w:p w:rsidR="000D7C9D" w:rsidRDefault="000D7C9D" w:rsidP="006E721B">
      <w:pPr>
        <w:pStyle w:val="ListParagraph"/>
        <w:spacing w:after="240"/>
        <w:ind w:left="0"/>
        <w:jc w:val="both"/>
      </w:pPr>
    </w:p>
    <w:p w:rsidR="00365A11" w:rsidRDefault="00365A11" w:rsidP="00EE35D5">
      <w:pPr>
        <w:pStyle w:val="ListParagraph"/>
        <w:numPr>
          <w:ilvl w:val="0"/>
          <w:numId w:val="20"/>
        </w:numPr>
        <w:spacing w:after="240"/>
        <w:ind w:left="0"/>
        <w:jc w:val="both"/>
      </w:pPr>
      <w:r>
        <w:t xml:space="preserve">As illustrated in </w:t>
      </w:r>
      <w:r w:rsidR="00620F72">
        <w:t>report</w:t>
      </w:r>
      <w:r>
        <w:t>, land related conflicts are not only based on competition for the land and its resources</w:t>
      </w:r>
      <w:r w:rsidR="005A2F09">
        <w:t>,</w:t>
      </w:r>
      <w:r>
        <w:t xml:space="preserve"> and the insecurity of tenure</w:t>
      </w:r>
      <w:r w:rsidR="005A2F09">
        <w:t xml:space="preserve">, but also </w:t>
      </w:r>
      <w:r>
        <w:t xml:space="preserve">result </w:t>
      </w:r>
      <w:r w:rsidR="005A2F09">
        <w:t>from</w:t>
      </w:r>
      <w:r>
        <w:t xml:space="preserve"> local power struggles, poor governance and a leadership which uses multiple fronts, such as ethnicity, gender</w:t>
      </w:r>
      <w:r w:rsidR="005A2F09">
        <w:t>,</w:t>
      </w:r>
      <w:r>
        <w:t xml:space="preserve"> and location, to advance a non-inclusive political agenda. The </w:t>
      </w:r>
      <w:r w:rsidR="00620F72">
        <w:t xml:space="preserve">report </w:t>
      </w:r>
      <w:r>
        <w:t xml:space="preserve">argues strongly that, when leaders politicize ethnicity and </w:t>
      </w:r>
      <w:r w:rsidR="0086637C">
        <w:t xml:space="preserve">instrumentalise </w:t>
      </w:r>
      <w:r>
        <w:t xml:space="preserve">it for acquisition of power and land ownership, they create a vicious cycle of inequitable access to land and other natural resources and trigger a cyclic wave of uncontrolled conflicts. The convergence of political authority and authority over land is shown as a recipe for much </w:t>
      </w:r>
      <w:r w:rsidR="005101C2">
        <w:t xml:space="preserve">of the </w:t>
      </w:r>
      <w:r>
        <w:t>violent conflict</w:t>
      </w:r>
      <w:r w:rsidR="005101C2">
        <w:t>s</w:t>
      </w:r>
      <w:r>
        <w:t xml:space="preserve"> across the continent. The </w:t>
      </w:r>
      <w:r w:rsidR="00620F72">
        <w:t xml:space="preserve">report </w:t>
      </w:r>
      <w:r>
        <w:t>shows that people-driven land reforms</w:t>
      </w:r>
      <w:r w:rsidR="005101C2">
        <w:t xml:space="preserve"> which</w:t>
      </w:r>
      <w:r>
        <w:t xml:space="preserve"> are</w:t>
      </w:r>
      <w:r w:rsidR="005101C2">
        <w:t xml:space="preserve"> more inclusive and sustainable</w:t>
      </w:r>
      <w:r>
        <w:t xml:space="preserve"> can serve as a deterrent to violence.</w:t>
      </w:r>
      <w:r w:rsidR="00EE35D5">
        <w:t xml:space="preserve"> </w:t>
      </w:r>
    </w:p>
    <w:p w:rsidR="004636CC" w:rsidRDefault="004636CC" w:rsidP="004636CC">
      <w:pPr>
        <w:pStyle w:val="ListParagraph"/>
        <w:spacing w:after="240"/>
        <w:ind w:left="0"/>
        <w:jc w:val="both"/>
      </w:pPr>
    </w:p>
    <w:p w:rsidR="00365A11" w:rsidRDefault="00365A11" w:rsidP="00EE35D5">
      <w:pPr>
        <w:pStyle w:val="ListParagraph"/>
        <w:numPr>
          <w:ilvl w:val="0"/>
          <w:numId w:val="20"/>
        </w:numPr>
        <w:spacing w:after="240"/>
        <w:ind w:left="0"/>
        <w:jc w:val="both"/>
      </w:pPr>
      <w:r>
        <w:t xml:space="preserve">Inclusive land policies are vital in reducing land related conflicts. Due to historical factors, pluralism in land tenure is the norm in Africa. It is important that Member States adopt innovative hybrid </w:t>
      </w:r>
      <w:r w:rsidR="0086637C">
        <w:t>approaches that</w:t>
      </w:r>
      <w:r>
        <w:t xml:space="preserve"> combine the best in community and statutory land systems by drawing from community experiences in order to buttress customary land rights while, at the same time, ensuring that the rights of women and other marginalized groups are respected. These </w:t>
      </w:r>
      <w:r w:rsidR="0086637C">
        <w:t>community-based</w:t>
      </w:r>
      <w:r>
        <w:t xml:space="preserve"> solutions would include mapping, demarcation and </w:t>
      </w:r>
      <w:r w:rsidR="00AF4303">
        <w:t>documentation</w:t>
      </w:r>
      <w:r>
        <w:t xml:space="preserve"> of land rights and claims at the community level. In addition to ensuring </w:t>
      </w:r>
      <w:r w:rsidR="00AA406C">
        <w:t xml:space="preserve">that </w:t>
      </w:r>
      <w:r>
        <w:t xml:space="preserve">the legal recognition of customary law is </w:t>
      </w:r>
      <w:r w:rsidR="00AA406C">
        <w:t xml:space="preserve">compatible </w:t>
      </w:r>
      <w:r>
        <w:t xml:space="preserve">with constitutional and statutory safeguards for women’s land rights, it is vital to incorporate gender responsive provisions in the statutory framework recognizing customary law. Customary law and practices should not be seen to be violating constitutional provisions that protect women’s land rights.   </w:t>
      </w:r>
    </w:p>
    <w:p w:rsidR="004636CC" w:rsidRDefault="004636CC" w:rsidP="004636CC">
      <w:pPr>
        <w:pStyle w:val="ListParagraph"/>
      </w:pPr>
    </w:p>
    <w:p w:rsidR="00365A11" w:rsidRDefault="00365A11" w:rsidP="00EE35D5">
      <w:pPr>
        <w:pStyle w:val="ListParagraph"/>
        <w:numPr>
          <w:ilvl w:val="0"/>
          <w:numId w:val="20"/>
        </w:numPr>
        <w:tabs>
          <w:tab w:val="left" w:pos="90"/>
        </w:tabs>
        <w:spacing w:after="240"/>
        <w:ind w:left="0"/>
        <w:jc w:val="both"/>
      </w:pPr>
      <w:r>
        <w:t>Of equal importance is the need to secure collective tenure rights of communities</w:t>
      </w:r>
      <w:r w:rsidRPr="00EE35D5">
        <w:rPr>
          <w:b/>
        </w:rPr>
        <w:t xml:space="preserve">. </w:t>
      </w:r>
      <w:r>
        <w:t xml:space="preserve">Where communally owned land is not adjudicated or </w:t>
      </w:r>
      <w:r w:rsidR="00AA406C">
        <w:t>registered,</w:t>
      </w:r>
      <w:r>
        <w:t xml:space="preserve"> it tends to be appropriated by </w:t>
      </w:r>
      <w:r w:rsidR="004B038A">
        <w:t>S</w:t>
      </w:r>
      <w:r>
        <w:t xml:space="preserve">tate agencies, economic and political elite, land speculators and foreign investors.  Securing community land rights should be prioritized across the continent, monitored and evaluated. </w:t>
      </w:r>
    </w:p>
    <w:p w:rsidR="00365A11" w:rsidRPr="000B7341" w:rsidRDefault="000B7341" w:rsidP="00976670">
      <w:pPr>
        <w:tabs>
          <w:tab w:val="left" w:pos="450"/>
        </w:tabs>
        <w:spacing w:after="240"/>
        <w:jc w:val="both"/>
        <w:rPr>
          <w:b/>
          <w:color w:val="0070C0"/>
          <w:sz w:val="28"/>
        </w:rPr>
      </w:pPr>
      <w:r w:rsidRPr="000B7341">
        <w:rPr>
          <w:b/>
          <w:color w:val="0070C0"/>
          <w:sz w:val="28"/>
        </w:rPr>
        <w:t xml:space="preserve">CONCLUSIONS AND </w:t>
      </w:r>
      <w:r w:rsidR="003149F5" w:rsidRPr="000B7341">
        <w:rPr>
          <w:b/>
          <w:color w:val="0070C0"/>
          <w:sz w:val="28"/>
        </w:rPr>
        <w:t xml:space="preserve">KEY RECOMMENDATIONS </w:t>
      </w:r>
    </w:p>
    <w:p w:rsidR="00325E1E" w:rsidRDefault="00325E1E" w:rsidP="00976670">
      <w:pPr>
        <w:tabs>
          <w:tab w:val="left" w:pos="450"/>
        </w:tabs>
        <w:spacing w:after="240"/>
        <w:jc w:val="both"/>
        <w:rPr>
          <w:b/>
        </w:rPr>
      </w:pPr>
      <w:r>
        <w:rPr>
          <w:b/>
        </w:rPr>
        <w:t>African Land Policy Center</w:t>
      </w:r>
    </w:p>
    <w:p w:rsidR="00325E1E" w:rsidRDefault="00325E1E" w:rsidP="00FC2D16">
      <w:pPr>
        <w:pStyle w:val="ListParagraph"/>
        <w:numPr>
          <w:ilvl w:val="0"/>
          <w:numId w:val="20"/>
        </w:numPr>
        <w:tabs>
          <w:tab w:val="left" w:pos="450"/>
        </w:tabs>
        <w:spacing w:after="240"/>
        <w:jc w:val="both"/>
      </w:pPr>
      <w:r w:rsidRPr="00325E1E">
        <w:t xml:space="preserve">The AUC needs to work closely with ECA, AfDB to implement the 2015 STC </w:t>
      </w:r>
      <w:r w:rsidR="00B439BC">
        <w:t>D</w:t>
      </w:r>
      <w:r w:rsidR="00B439BC" w:rsidRPr="00325E1E">
        <w:t xml:space="preserve">ecision </w:t>
      </w:r>
      <w:r w:rsidRPr="00325E1E">
        <w:t xml:space="preserve">to </w:t>
      </w:r>
      <w:r w:rsidR="00551A52">
        <w:t>launch</w:t>
      </w:r>
      <w:r w:rsidRPr="00325E1E">
        <w:t xml:space="preserve"> and capacitate </w:t>
      </w:r>
      <w:r w:rsidR="00B439BC">
        <w:t>the</w:t>
      </w:r>
      <w:r w:rsidR="00B439BC" w:rsidRPr="00325E1E">
        <w:t xml:space="preserve"> </w:t>
      </w:r>
      <w:r w:rsidR="00D654EF">
        <w:t>African Land Policy C</w:t>
      </w:r>
      <w:r w:rsidRPr="00325E1E">
        <w:t xml:space="preserve">entre </w:t>
      </w:r>
      <w:r w:rsidR="00551A52">
        <w:t>(ALPC)</w:t>
      </w:r>
      <w:r w:rsidR="00430357">
        <w:t>,</w:t>
      </w:r>
      <w:r w:rsidR="00551A52">
        <w:t xml:space="preserve"> </w:t>
      </w:r>
      <w:r w:rsidRPr="00325E1E">
        <w:t>to provide leadership</w:t>
      </w:r>
      <w:r w:rsidR="00B439BC">
        <w:t xml:space="preserve"> and</w:t>
      </w:r>
      <w:r w:rsidR="00B439BC" w:rsidRPr="00325E1E">
        <w:t xml:space="preserve"> </w:t>
      </w:r>
      <w:r w:rsidRPr="00325E1E">
        <w:t>coordinate the implementation of land governance related commitments</w:t>
      </w:r>
      <w:r w:rsidR="006254A5">
        <w:t xml:space="preserve">. In </w:t>
      </w:r>
      <w:r w:rsidR="00B439BC">
        <w:t xml:space="preserve">line with LPI </w:t>
      </w:r>
      <w:r w:rsidR="00B439BC">
        <w:lastRenderedPageBreak/>
        <w:t>Steering C</w:t>
      </w:r>
      <w:r w:rsidR="006254A5">
        <w:t xml:space="preserve">ommittee </w:t>
      </w:r>
      <w:r w:rsidR="00B562C4">
        <w:t xml:space="preserve">recommendations and </w:t>
      </w:r>
      <w:r w:rsidR="00B439BC">
        <w:t xml:space="preserve">those of </w:t>
      </w:r>
      <w:r w:rsidR="00B562C4">
        <w:t xml:space="preserve">various evaluation </w:t>
      </w:r>
      <w:r w:rsidR="00AA406C">
        <w:t>reports,</w:t>
      </w:r>
      <w:r w:rsidR="00AE2FDC">
        <w:t xml:space="preserve"> </w:t>
      </w:r>
      <w:r w:rsidR="00B562C4">
        <w:t xml:space="preserve">it is </w:t>
      </w:r>
      <w:r w:rsidR="00AE2FDC">
        <w:t>critical</w:t>
      </w:r>
      <w:r w:rsidR="00B562C4">
        <w:t xml:space="preserve"> to</w:t>
      </w:r>
      <w:r w:rsidR="006254A5">
        <w:t xml:space="preserve"> institutionaliz</w:t>
      </w:r>
      <w:r w:rsidR="00B562C4">
        <w:t>e</w:t>
      </w:r>
      <w:r w:rsidR="006254A5">
        <w:t xml:space="preserve"> </w:t>
      </w:r>
      <w:r w:rsidR="00AE2FDC">
        <w:t>ALPC</w:t>
      </w:r>
      <w:r w:rsidR="006254A5">
        <w:t xml:space="preserve"> </w:t>
      </w:r>
      <w:r w:rsidR="00B562C4">
        <w:t xml:space="preserve">in a manner that </w:t>
      </w:r>
      <w:r w:rsidR="006254A5">
        <w:t>ensur</w:t>
      </w:r>
      <w:r w:rsidR="00B562C4">
        <w:t>es</w:t>
      </w:r>
      <w:r w:rsidR="006254A5">
        <w:t xml:space="preserve"> </w:t>
      </w:r>
      <w:r w:rsidR="00B562C4">
        <w:t xml:space="preserve">financial </w:t>
      </w:r>
      <w:r w:rsidR="006254A5">
        <w:t>sustainability</w:t>
      </w:r>
      <w:r w:rsidR="00B562C4">
        <w:t>, operational efficiency and ownership by member states.</w:t>
      </w:r>
    </w:p>
    <w:p w:rsidR="001C2564" w:rsidRPr="001C2564" w:rsidRDefault="001C2564" w:rsidP="001C2564">
      <w:pPr>
        <w:tabs>
          <w:tab w:val="left" w:pos="450"/>
        </w:tabs>
        <w:spacing w:after="240"/>
        <w:jc w:val="both"/>
        <w:rPr>
          <w:b/>
        </w:rPr>
      </w:pPr>
      <w:r w:rsidRPr="001C2564">
        <w:rPr>
          <w:b/>
        </w:rPr>
        <w:t>Guidelines for Development of Curricula on Land Governance in Africa</w:t>
      </w:r>
    </w:p>
    <w:p w:rsidR="00941E7F" w:rsidRDefault="001C2564" w:rsidP="001C2564">
      <w:pPr>
        <w:pStyle w:val="Heading2"/>
        <w:numPr>
          <w:ilvl w:val="0"/>
          <w:numId w:val="20"/>
        </w:numPr>
        <w:jc w:val="both"/>
        <w:rPr>
          <w:rFonts w:ascii="Times New Roman" w:hAnsi="Times New Roman"/>
          <w:b w:val="0"/>
          <w:i w:val="0"/>
          <w:sz w:val="24"/>
          <w:szCs w:val="24"/>
        </w:rPr>
      </w:pPr>
      <w:bookmarkStart w:id="1" w:name="_Toc465670680"/>
      <w:bookmarkStart w:id="2" w:name="_Toc465671693"/>
      <w:r w:rsidRPr="001C2564">
        <w:rPr>
          <w:rFonts w:ascii="Times New Roman" w:hAnsi="Times New Roman"/>
          <w:b w:val="0"/>
          <w:i w:val="0"/>
          <w:sz w:val="24"/>
          <w:szCs w:val="24"/>
        </w:rPr>
        <w:t>The AU Specialised Technical Committee is requested to endorse the Curricular Guidelines</w:t>
      </w:r>
      <w:r w:rsidRPr="004350AB">
        <w:rPr>
          <w:rFonts w:ascii="Times New Roman" w:hAnsi="Times New Roman"/>
          <w:sz w:val="24"/>
          <w:szCs w:val="24"/>
        </w:rPr>
        <w:t xml:space="preserve"> </w:t>
      </w:r>
      <w:bookmarkEnd w:id="1"/>
      <w:bookmarkEnd w:id="2"/>
      <w:r w:rsidRPr="004350AB">
        <w:rPr>
          <w:rFonts w:ascii="Times New Roman" w:hAnsi="Times New Roman"/>
          <w:b w:val="0"/>
          <w:i w:val="0"/>
          <w:sz w:val="24"/>
          <w:szCs w:val="24"/>
        </w:rPr>
        <w:t xml:space="preserve">for operationalization by Regional Economic Communities and Member States and to play a continuous oversight role </w:t>
      </w:r>
      <w:bookmarkStart w:id="3" w:name="_Toc465670681"/>
      <w:bookmarkStart w:id="4" w:name="_Toc465671694"/>
      <w:r w:rsidR="00342858">
        <w:rPr>
          <w:rFonts w:ascii="Times New Roman" w:hAnsi="Times New Roman"/>
          <w:b w:val="0"/>
          <w:i w:val="0"/>
          <w:sz w:val="24"/>
          <w:szCs w:val="24"/>
        </w:rPr>
        <w:t>to en</w:t>
      </w:r>
      <w:r>
        <w:rPr>
          <w:rFonts w:ascii="Times New Roman" w:hAnsi="Times New Roman"/>
          <w:b w:val="0"/>
          <w:i w:val="0"/>
          <w:sz w:val="24"/>
          <w:szCs w:val="24"/>
        </w:rPr>
        <w:t xml:space="preserve">sure its implementation. </w:t>
      </w:r>
      <w:bookmarkEnd w:id="3"/>
      <w:bookmarkEnd w:id="4"/>
    </w:p>
    <w:p w:rsidR="00941E7F" w:rsidRDefault="001C2564" w:rsidP="00941E7F">
      <w:pPr>
        <w:pStyle w:val="Heading2"/>
        <w:numPr>
          <w:ilvl w:val="0"/>
          <w:numId w:val="20"/>
        </w:numPr>
        <w:jc w:val="both"/>
        <w:rPr>
          <w:rFonts w:ascii="Times New Roman" w:hAnsi="Times New Roman"/>
          <w:b w:val="0"/>
          <w:i w:val="0"/>
          <w:sz w:val="24"/>
          <w:szCs w:val="24"/>
        </w:rPr>
      </w:pPr>
      <w:r w:rsidRPr="00941E7F">
        <w:rPr>
          <w:rFonts w:ascii="Times New Roman" w:hAnsi="Times New Roman"/>
          <w:b w:val="0"/>
          <w:i w:val="0"/>
          <w:sz w:val="24"/>
          <w:szCs w:val="24"/>
        </w:rPr>
        <w:t xml:space="preserve">The </w:t>
      </w:r>
      <w:r w:rsidRPr="00342858">
        <w:rPr>
          <w:rFonts w:ascii="Times New Roman" w:hAnsi="Times New Roman"/>
          <w:b w:val="0"/>
          <w:sz w:val="24"/>
          <w:szCs w:val="24"/>
          <w:u w:val="single"/>
        </w:rPr>
        <w:t>Regional Economic Communities (RECs)</w:t>
      </w:r>
      <w:r w:rsidRPr="00941E7F">
        <w:rPr>
          <w:rFonts w:ascii="Times New Roman" w:hAnsi="Times New Roman"/>
          <w:b w:val="0"/>
          <w:i w:val="0"/>
          <w:sz w:val="24"/>
          <w:szCs w:val="24"/>
        </w:rPr>
        <w:t xml:space="preserve"> on their part are called to disseminate and sensitize Member States on the importance of the guidelines and act as platforms for sharing of lessons. </w:t>
      </w:r>
      <w:r w:rsidRPr="00342858">
        <w:rPr>
          <w:rFonts w:ascii="Times New Roman" w:hAnsi="Times New Roman"/>
          <w:b w:val="0"/>
          <w:sz w:val="24"/>
          <w:szCs w:val="24"/>
          <w:u w:val="single"/>
        </w:rPr>
        <w:t>Member States</w:t>
      </w:r>
      <w:r w:rsidRPr="00941E7F">
        <w:rPr>
          <w:rFonts w:ascii="Times New Roman" w:hAnsi="Times New Roman"/>
          <w:b w:val="0"/>
          <w:i w:val="0"/>
          <w:sz w:val="24"/>
          <w:szCs w:val="24"/>
        </w:rPr>
        <w:t xml:space="preserve"> are requested to </w:t>
      </w:r>
      <w:r w:rsidR="00342858">
        <w:rPr>
          <w:rFonts w:ascii="Times New Roman" w:hAnsi="Times New Roman"/>
          <w:b w:val="0"/>
          <w:i w:val="0"/>
          <w:sz w:val="24"/>
          <w:szCs w:val="24"/>
        </w:rPr>
        <w:t>enhance</w:t>
      </w:r>
      <w:r w:rsidRPr="00941E7F">
        <w:rPr>
          <w:rFonts w:ascii="Times New Roman" w:hAnsi="Times New Roman"/>
          <w:b w:val="0"/>
          <w:i w:val="0"/>
          <w:sz w:val="24"/>
          <w:szCs w:val="24"/>
        </w:rPr>
        <w:t xml:space="preserve"> financial </w:t>
      </w:r>
      <w:r w:rsidR="00342858">
        <w:rPr>
          <w:rFonts w:ascii="Times New Roman" w:hAnsi="Times New Roman"/>
          <w:b w:val="0"/>
          <w:i w:val="0"/>
          <w:sz w:val="24"/>
          <w:szCs w:val="24"/>
        </w:rPr>
        <w:t xml:space="preserve">and human </w:t>
      </w:r>
      <w:r w:rsidRPr="00941E7F">
        <w:rPr>
          <w:rFonts w:ascii="Times New Roman" w:hAnsi="Times New Roman"/>
          <w:b w:val="0"/>
          <w:i w:val="0"/>
          <w:sz w:val="24"/>
          <w:szCs w:val="24"/>
        </w:rPr>
        <w:t>resources</w:t>
      </w:r>
      <w:r w:rsidR="00342858">
        <w:rPr>
          <w:rFonts w:ascii="Times New Roman" w:hAnsi="Times New Roman"/>
          <w:b w:val="0"/>
          <w:i w:val="0"/>
          <w:sz w:val="24"/>
          <w:szCs w:val="24"/>
        </w:rPr>
        <w:t xml:space="preserve">, </w:t>
      </w:r>
      <w:r w:rsidRPr="00941E7F">
        <w:rPr>
          <w:rFonts w:ascii="Times New Roman" w:hAnsi="Times New Roman"/>
          <w:b w:val="0"/>
          <w:i w:val="0"/>
          <w:sz w:val="24"/>
          <w:szCs w:val="24"/>
        </w:rPr>
        <w:t xml:space="preserve">with Ministries driving the portfolios of Education and Land &amp; Natural resources playing a central role in this regard. </w:t>
      </w:r>
      <w:bookmarkStart w:id="5" w:name="_Toc465670683"/>
      <w:bookmarkStart w:id="6" w:name="_Toc465671696"/>
      <w:r w:rsidR="00342858">
        <w:rPr>
          <w:rFonts w:ascii="Times New Roman" w:hAnsi="Times New Roman"/>
          <w:b w:val="0"/>
          <w:sz w:val="24"/>
          <w:szCs w:val="24"/>
          <w:u w:val="single"/>
        </w:rPr>
        <w:t>Universities and other relevant</w:t>
      </w:r>
      <w:r w:rsidRPr="00342858">
        <w:rPr>
          <w:rFonts w:ascii="Times New Roman" w:hAnsi="Times New Roman"/>
          <w:b w:val="0"/>
          <w:sz w:val="24"/>
          <w:szCs w:val="24"/>
          <w:u w:val="single"/>
        </w:rPr>
        <w:t xml:space="preserve"> institutions</w:t>
      </w:r>
      <w:bookmarkEnd w:id="5"/>
      <w:bookmarkEnd w:id="6"/>
      <w:r w:rsidR="00941E7F" w:rsidRPr="00941E7F">
        <w:rPr>
          <w:rFonts w:ascii="Times New Roman" w:hAnsi="Times New Roman"/>
          <w:b w:val="0"/>
          <w:i w:val="0"/>
          <w:sz w:val="24"/>
          <w:szCs w:val="24"/>
        </w:rPr>
        <w:t xml:space="preserve"> are requested to use the guidelines in developing new curricula and reviewing existing curricula</w:t>
      </w:r>
      <w:r w:rsidRPr="00941E7F">
        <w:rPr>
          <w:rFonts w:ascii="Times New Roman" w:hAnsi="Times New Roman"/>
          <w:b w:val="0"/>
          <w:i w:val="0"/>
          <w:sz w:val="24"/>
          <w:szCs w:val="24"/>
        </w:rPr>
        <w:t>.</w:t>
      </w:r>
    </w:p>
    <w:p w:rsidR="001C2564" w:rsidRDefault="00941E7F" w:rsidP="00941E7F">
      <w:pPr>
        <w:pStyle w:val="Heading2"/>
        <w:numPr>
          <w:ilvl w:val="0"/>
          <w:numId w:val="20"/>
        </w:numPr>
        <w:jc w:val="both"/>
        <w:rPr>
          <w:rFonts w:ascii="Times New Roman" w:hAnsi="Times New Roman"/>
          <w:b w:val="0"/>
          <w:i w:val="0"/>
          <w:sz w:val="24"/>
          <w:szCs w:val="24"/>
        </w:rPr>
      </w:pPr>
      <w:r w:rsidRPr="00941E7F">
        <w:rPr>
          <w:rFonts w:ascii="Times New Roman" w:hAnsi="Times New Roman"/>
          <w:b w:val="0"/>
          <w:i w:val="0"/>
          <w:sz w:val="24"/>
          <w:szCs w:val="24"/>
        </w:rPr>
        <w:t xml:space="preserve">The </w:t>
      </w:r>
      <w:r w:rsidRPr="00AF195F">
        <w:rPr>
          <w:rFonts w:ascii="Times New Roman" w:hAnsi="Times New Roman"/>
          <w:b w:val="0"/>
          <w:sz w:val="24"/>
          <w:szCs w:val="24"/>
          <w:u w:val="single"/>
        </w:rPr>
        <w:t xml:space="preserve">LPI/ALPC </w:t>
      </w:r>
      <w:r w:rsidRPr="00941E7F">
        <w:rPr>
          <w:rFonts w:ascii="Times New Roman" w:hAnsi="Times New Roman"/>
          <w:b w:val="0"/>
          <w:i w:val="0"/>
          <w:sz w:val="24"/>
          <w:szCs w:val="24"/>
        </w:rPr>
        <w:t>is requested to</w:t>
      </w:r>
      <w:r w:rsidR="001C2564" w:rsidRPr="00941E7F">
        <w:rPr>
          <w:rFonts w:ascii="Times New Roman" w:hAnsi="Times New Roman"/>
          <w:b w:val="0"/>
          <w:i w:val="0"/>
          <w:sz w:val="24"/>
          <w:szCs w:val="24"/>
        </w:rPr>
        <w:t xml:space="preserve"> </w:t>
      </w:r>
      <w:r w:rsidRPr="00941E7F">
        <w:rPr>
          <w:rFonts w:ascii="Times New Roman" w:hAnsi="Times New Roman"/>
          <w:b w:val="0"/>
          <w:i w:val="0"/>
          <w:sz w:val="24"/>
          <w:szCs w:val="24"/>
        </w:rPr>
        <w:t>work with NELGA instit</w:t>
      </w:r>
      <w:r w:rsidR="007402BC">
        <w:rPr>
          <w:rFonts w:ascii="Times New Roman" w:hAnsi="Times New Roman"/>
          <w:b w:val="0"/>
          <w:i w:val="0"/>
          <w:sz w:val="24"/>
          <w:szCs w:val="24"/>
        </w:rPr>
        <w:t>ut</w:t>
      </w:r>
      <w:r w:rsidRPr="00941E7F">
        <w:rPr>
          <w:rFonts w:ascii="Times New Roman" w:hAnsi="Times New Roman"/>
          <w:b w:val="0"/>
          <w:i w:val="0"/>
          <w:sz w:val="24"/>
          <w:szCs w:val="24"/>
        </w:rPr>
        <w:t>ions to conduct</w:t>
      </w:r>
      <w:r w:rsidR="001C2564" w:rsidRPr="00941E7F">
        <w:rPr>
          <w:rFonts w:ascii="Times New Roman" w:hAnsi="Times New Roman"/>
          <w:b w:val="0"/>
          <w:i w:val="0"/>
          <w:sz w:val="24"/>
          <w:szCs w:val="24"/>
        </w:rPr>
        <w:t xml:space="preserve"> comprehensive mapping to identify institutions to be targeted for dissemination of the guidelines</w:t>
      </w:r>
      <w:r w:rsidRPr="00941E7F">
        <w:rPr>
          <w:rFonts w:ascii="Times New Roman" w:hAnsi="Times New Roman"/>
          <w:b w:val="0"/>
          <w:i w:val="0"/>
          <w:sz w:val="24"/>
          <w:szCs w:val="24"/>
        </w:rPr>
        <w:t xml:space="preserve">, </w:t>
      </w:r>
      <w:r w:rsidR="001C2564" w:rsidRPr="00941E7F">
        <w:rPr>
          <w:rFonts w:ascii="Times New Roman" w:hAnsi="Times New Roman"/>
          <w:b w:val="0"/>
          <w:i w:val="0"/>
          <w:sz w:val="24"/>
          <w:szCs w:val="24"/>
        </w:rPr>
        <w:t>complemented by posting of the guidelines on strategic websites such as those of the LPI Consortium members, the African Union Commission, the ECA</w:t>
      </w:r>
      <w:r w:rsidR="00AF195F">
        <w:rPr>
          <w:rFonts w:ascii="Times New Roman" w:hAnsi="Times New Roman"/>
          <w:b w:val="0"/>
          <w:i w:val="0"/>
          <w:sz w:val="24"/>
          <w:szCs w:val="24"/>
        </w:rPr>
        <w:t>,</w:t>
      </w:r>
      <w:r w:rsidR="001C2564" w:rsidRPr="00941E7F">
        <w:rPr>
          <w:rFonts w:ascii="Times New Roman" w:hAnsi="Times New Roman"/>
          <w:b w:val="0"/>
          <w:i w:val="0"/>
          <w:sz w:val="24"/>
          <w:szCs w:val="24"/>
        </w:rPr>
        <w:t xml:space="preserve"> AfDB</w:t>
      </w:r>
      <w:r w:rsidR="00AF195F">
        <w:rPr>
          <w:rFonts w:ascii="Times New Roman" w:hAnsi="Times New Roman"/>
          <w:b w:val="0"/>
          <w:i w:val="0"/>
          <w:sz w:val="24"/>
          <w:szCs w:val="24"/>
        </w:rPr>
        <w:t xml:space="preserve"> and others.</w:t>
      </w:r>
    </w:p>
    <w:p w:rsidR="00941E7F" w:rsidRPr="00941E7F" w:rsidRDefault="00941E7F" w:rsidP="00941E7F"/>
    <w:p w:rsidR="00F251DD" w:rsidRPr="006E721B" w:rsidRDefault="00F251DD" w:rsidP="006E721B">
      <w:pPr>
        <w:tabs>
          <w:tab w:val="left" w:pos="450"/>
        </w:tabs>
        <w:spacing w:after="240"/>
        <w:jc w:val="both"/>
        <w:rPr>
          <w:b/>
        </w:rPr>
      </w:pPr>
      <w:r w:rsidRPr="006E721B">
        <w:rPr>
          <w:b/>
          <w:bCs/>
        </w:rPr>
        <w:t xml:space="preserve">Land in National Agriculture Investment Plans (NAIPs)  </w:t>
      </w:r>
    </w:p>
    <w:p w:rsidR="00F251DD" w:rsidRPr="003C2283" w:rsidRDefault="00F251DD" w:rsidP="00F251DD">
      <w:pPr>
        <w:pStyle w:val="ListParagraph"/>
        <w:numPr>
          <w:ilvl w:val="0"/>
          <w:numId w:val="20"/>
        </w:numPr>
        <w:tabs>
          <w:tab w:val="left" w:pos="450"/>
        </w:tabs>
        <w:spacing w:after="240"/>
        <w:jc w:val="both"/>
      </w:pPr>
      <w:r>
        <w:rPr>
          <w:bCs/>
        </w:rPr>
        <w:t xml:space="preserve">Building on </w:t>
      </w:r>
      <w:r w:rsidRPr="00F251DD">
        <w:rPr>
          <w:bCs/>
        </w:rPr>
        <w:t xml:space="preserve">the success already achieved </w:t>
      </w:r>
      <w:r w:rsidR="003544F4" w:rsidRPr="00F251DD">
        <w:rPr>
          <w:bCs/>
        </w:rPr>
        <w:t>there</w:t>
      </w:r>
      <w:r w:rsidRPr="00F251DD">
        <w:rPr>
          <w:bCs/>
        </w:rPr>
        <w:t xml:space="preserve"> is need to </w:t>
      </w:r>
      <w:r w:rsidR="00702A7B">
        <w:rPr>
          <w:bCs/>
        </w:rPr>
        <w:t xml:space="preserve">develop and implement business plans, and institutionalise multi-sectoral committees that support </w:t>
      </w:r>
      <w:r w:rsidR="00702A7B" w:rsidRPr="00F251DD">
        <w:rPr>
          <w:bCs/>
        </w:rPr>
        <w:t xml:space="preserve">mainstreaming </w:t>
      </w:r>
      <w:r w:rsidR="00702A7B">
        <w:rPr>
          <w:bCs/>
        </w:rPr>
        <w:t xml:space="preserve">of </w:t>
      </w:r>
      <w:r w:rsidR="00F66A17">
        <w:rPr>
          <w:bCs/>
        </w:rPr>
        <w:t xml:space="preserve">land governance in the NAIPs as well as </w:t>
      </w:r>
      <w:r w:rsidRPr="00F251DD">
        <w:rPr>
          <w:bCs/>
        </w:rPr>
        <w:t xml:space="preserve">mobilise resources </w:t>
      </w:r>
      <w:r w:rsidR="00702A7B">
        <w:rPr>
          <w:bCs/>
        </w:rPr>
        <w:t>to</w:t>
      </w:r>
      <w:r w:rsidRPr="00F251DD">
        <w:rPr>
          <w:bCs/>
        </w:rPr>
        <w:t xml:space="preserve"> scale up </w:t>
      </w:r>
      <w:r>
        <w:rPr>
          <w:bCs/>
        </w:rPr>
        <w:t xml:space="preserve">interventions </w:t>
      </w:r>
      <w:r w:rsidRPr="00F251DD">
        <w:rPr>
          <w:bCs/>
        </w:rPr>
        <w:t xml:space="preserve">ensuring </w:t>
      </w:r>
      <w:r>
        <w:rPr>
          <w:bCs/>
        </w:rPr>
        <w:t>synergies</w:t>
      </w:r>
      <w:r w:rsidRPr="00F251DD">
        <w:rPr>
          <w:bCs/>
        </w:rPr>
        <w:t xml:space="preserve"> </w:t>
      </w:r>
      <w:r w:rsidR="003544F4" w:rsidRPr="00F251DD">
        <w:rPr>
          <w:bCs/>
        </w:rPr>
        <w:t>with broader</w:t>
      </w:r>
      <w:r w:rsidRPr="00F251DD">
        <w:rPr>
          <w:bCs/>
        </w:rPr>
        <w:t xml:space="preserve"> efforts to align the NAIPS with the Malabo </w:t>
      </w:r>
      <w:r>
        <w:rPr>
          <w:bCs/>
        </w:rPr>
        <w:t xml:space="preserve">targets. </w:t>
      </w:r>
      <w:r w:rsidR="00F66A17">
        <w:rPr>
          <w:bCs/>
        </w:rPr>
        <w:t>I</w:t>
      </w:r>
      <w:r>
        <w:rPr>
          <w:bCs/>
        </w:rPr>
        <w:t>t is</w:t>
      </w:r>
      <w:r w:rsidR="00F66A17">
        <w:rPr>
          <w:bCs/>
        </w:rPr>
        <w:t xml:space="preserve"> also</w:t>
      </w:r>
      <w:r>
        <w:rPr>
          <w:bCs/>
        </w:rPr>
        <w:t xml:space="preserve"> important to broaden mainstreaming of land governance </w:t>
      </w:r>
      <w:r w:rsidR="00702A7B">
        <w:rPr>
          <w:bCs/>
        </w:rPr>
        <w:t xml:space="preserve">to </w:t>
      </w:r>
      <w:r>
        <w:rPr>
          <w:bCs/>
        </w:rPr>
        <w:t>other land rela</w:t>
      </w:r>
      <w:r w:rsidR="006E721B">
        <w:rPr>
          <w:bCs/>
        </w:rPr>
        <w:t>t</w:t>
      </w:r>
      <w:r>
        <w:rPr>
          <w:bCs/>
        </w:rPr>
        <w:t>ed sectors</w:t>
      </w:r>
      <w:r w:rsidR="00F66A17">
        <w:rPr>
          <w:bCs/>
        </w:rPr>
        <w:t>.</w:t>
      </w:r>
    </w:p>
    <w:p w:rsidR="003C2283" w:rsidRPr="003C2283" w:rsidRDefault="003C2283" w:rsidP="006E721B">
      <w:pPr>
        <w:pStyle w:val="ListParagraph"/>
        <w:tabs>
          <w:tab w:val="left" w:pos="450"/>
        </w:tabs>
        <w:spacing w:after="240"/>
        <w:ind w:left="360"/>
        <w:jc w:val="both"/>
      </w:pPr>
    </w:p>
    <w:p w:rsidR="00744789" w:rsidRPr="006E721B" w:rsidRDefault="00744789" w:rsidP="00D84CAE">
      <w:pPr>
        <w:pStyle w:val="ListParagraph"/>
        <w:numPr>
          <w:ilvl w:val="0"/>
          <w:numId w:val="20"/>
        </w:numPr>
        <w:spacing w:after="160" w:line="252" w:lineRule="auto"/>
        <w:rPr>
          <w:sz w:val="22"/>
          <w:szCs w:val="22"/>
        </w:rPr>
      </w:pPr>
      <w:r>
        <w:t xml:space="preserve">Building on the commitment </w:t>
      </w:r>
      <w:r w:rsidR="003544F4">
        <w:t>and momentum gained in</w:t>
      </w:r>
      <w:r>
        <w:t xml:space="preserve"> </w:t>
      </w:r>
      <w:r w:rsidR="003544F4">
        <w:t xml:space="preserve">integrating </w:t>
      </w:r>
      <w:r>
        <w:t>land gove</w:t>
      </w:r>
      <w:r w:rsidR="006E721B">
        <w:t>r</w:t>
      </w:r>
      <w:r>
        <w:t xml:space="preserve">nance issues in </w:t>
      </w:r>
      <w:r w:rsidR="003544F4">
        <w:t xml:space="preserve">REC </w:t>
      </w:r>
      <w:r>
        <w:t xml:space="preserve">programmes, it is essential to </w:t>
      </w:r>
      <w:r w:rsidR="003544F4">
        <w:t>adopt a more sustainable</w:t>
      </w:r>
      <w:r w:rsidR="00CF2146">
        <w:t xml:space="preserve"> strategy for funding </w:t>
      </w:r>
      <w:r w:rsidR="003544F4">
        <w:t xml:space="preserve">the </w:t>
      </w:r>
      <w:r>
        <w:t xml:space="preserve">joint LPI/REC </w:t>
      </w:r>
      <w:r w:rsidR="003544F4">
        <w:t xml:space="preserve">projects, </w:t>
      </w:r>
      <w:r>
        <w:t>developed</w:t>
      </w:r>
      <w:r w:rsidR="00CF2146">
        <w:t xml:space="preserve"> in the past two years</w:t>
      </w:r>
      <w:r>
        <w:t xml:space="preserve">. This is especially critical in view of </w:t>
      </w:r>
      <w:r w:rsidR="00865FD1">
        <w:t>the shift</w:t>
      </w:r>
      <w:r w:rsidR="00CF2146">
        <w:t>ing</w:t>
      </w:r>
      <w:r w:rsidR="00865FD1">
        <w:t xml:space="preserve"> priorities </w:t>
      </w:r>
      <w:r w:rsidR="00CF2146">
        <w:t xml:space="preserve">of funding </w:t>
      </w:r>
      <w:r w:rsidR="00865FD1">
        <w:t>partners.</w:t>
      </w:r>
    </w:p>
    <w:p w:rsidR="00744789" w:rsidRDefault="00744789" w:rsidP="006E721B">
      <w:pPr>
        <w:pStyle w:val="ListParagraph"/>
      </w:pPr>
    </w:p>
    <w:p w:rsidR="009A6789" w:rsidRPr="00325E1E" w:rsidRDefault="009A6789" w:rsidP="00325E1E">
      <w:pPr>
        <w:tabs>
          <w:tab w:val="left" w:pos="450"/>
        </w:tabs>
        <w:spacing w:after="240"/>
        <w:jc w:val="both"/>
        <w:rPr>
          <w:b/>
        </w:rPr>
      </w:pPr>
      <w:r w:rsidRPr="00325E1E">
        <w:rPr>
          <w:b/>
        </w:rPr>
        <w:t>Women’s land rights</w:t>
      </w:r>
    </w:p>
    <w:p w:rsidR="008B236E" w:rsidRPr="00B623B9" w:rsidRDefault="000557F2" w:rsidP="008B236E">
      <w:pPr>
        <w:numPr>
          <w:ilvl w:val="0"/>
          <w:numId w:val="20"/>
        </w:numPr>
        <w:jc w:val="both"/>
        <w:rPr>
          <w:rFonts w:asciiTheme="majorBidi" w:hAnsiTheme="majorBidi" w:cstheme="majorBidi"/>
          <w:bCs/>
        </w:rPr>
      </w:pPr>
      <w:r w:rsidRPr="008B236E">
        <w:rPr>
          <w:rFonts w:asciiTheme="majorBidi" w:hAnsiTheme="majorBidi" w:cstheme="majorBidi"/>
          <w:bCs/>
        </w:rPr>
        <w:t>Governments need</w:t>
      </w:r>
      <w:r w:rsidR="008B236E" w:rsidRPr="008B236E">
        <w:rPr>
          <w:rFonts w:asciiTheme="majorBidi" w:hAnsiTheme="majorBidi" w:cstheme="majorBidi"/>
          <w:bCs/>
        </w:rPr>
        <w:t xml:space="preserve"> t</w:t>
      </w:r>
      <w:r w:rsidR="006E721B">
        <w:rPr>
          <w:rFonts w:asciiTheme="majorBidi" w:hAnsiTheme="majorBidi" w:cstheme="majorBidi"/>
          <w:bCs/>
        </w:rPr>
        <w:t xml:space="preserve">o </w:t>
      </w:r>
      <w:r w:rsidR="008B236E" w:rsidRPr="008B236E">
        <w:rPr>
          <w:rFonts w:asciiTheme="majorBidi" w:hAnsiTheme="majorBidi" w:cstheme="majorBidi"/>
          <w:bCs/>
        </w:rPr>
        <w:t xml:space="preserve">review their policies to ensure </w:t>
      </w:r>
      <w:r w:rsidR="009A6789" w:rsidRPr="008B236E">
        <w:rPr>
          <w:rFonts w:asciiTheme="majorBidi" w:hAnsiTheme="majorBidi" w:cstheme="majorBidi"/>
          <w:bCs/>
        </w:rPr>
        <w:t>gender-sensitive and responsive legal frameworks for promoting and</w:t>
      </w:r>
      <w:r w:rsidR="008B236E" w:rsidRPr="008B236E">
        <w:rPr>
          <w:rFonts w:asciiTheme="majorBidi" w:hAnsiTheme="majorBidi" w:cstheme="majorBidi"/>
          <w:bCs/>
        </w:rPr>
        <w:t xml:space="preserve"> protecting women's land rights. </w:t>
      </w:r>
      <w:r w:rsidR="008B236E">
        <w:rPr>
          <w:rFonts w:asciiTheme="majorBidi" w:hAnsiTheme="majorBidi" w:cstheme="majorBidi"/>
          <w:bCs/>
        </w:rPr>
        <w:t xml:space="preserve">In this regard, there is an urgent need </w:t>
      </w:r>
      <w:r w:rsidR="004E583F">
        <w:rPr>
          <w:rFonts w:asciiTheme="majorBidi" w:hAnsiTheme="majorBidi" w:cstheme="majorBidi"/>
          <w:bCs/>
        </w:rPr>
        <w:t>for</w:t>
      </w:r>
      <w:r w:rsidR="008B236E" w:rsidRPr="00B623B9">
        <w:rPr>
          <w:rFonts w:asciiTheme="majorBidi" w:hAnsiTheme="majorBidi" w:cstheme="majorBidi"/>
          <w:bCs/>
        </w:rPr>
        <w:t xml:space="preserve"> sex- disaggregated data </w:t>
      </w:r>
      <w:r w:rsidR="004E583F">
        <w:rPr>
          <w:rFonts w:asciiTheme="majorBidi" w:hAnsiTheme="majorBidi" w:cstheme="majorBidi"/>
          <w:bCs/>
        </w:rPr>
        <w:t xml:space="preserve">to ascertain </w:t>
      </w:r>
      <w:r w:rsidR="008B236E" w:rsidRPr="00B623B9">
        <w:rPr>
          <w:rFonts w:asciiTheme="majorBidi" w:hAnsiTheme="majorBidi" w:cstheme="majorBidi"/>
          <w:bCs/>
        </w:rPr>
        <w:t>the situation of women</w:t>
      </w:r>
      <w:r w:rsidR="008B236E">
        <w:rPr>
          <w:rFonts w:asciiTheme="majorBidi" w:hAnsiTheme="majorBidi" w:cstheme="majorBidi"/>
          <w:bCs/>
        </w:rPr>
        <w:t xml:space="preserve"> and </w:t>
      </w:r>
      <w:r w:rsidR="008B236E" w:rsidRPr="00B623B9">
        <w:rPr>
          <w:rFonts w:asciiTheme="majorBidi" w:hAnsiTheme="majorBidi" w:cstheme="majorBidi"/>
          <w:bCs/>
        </w:rPr>
        <w:t xml:space="preserve">track implementation of the 30 percent target </w:t>
      </w:r>
      <w:r w:rsidR="008B236E">
        <w:rPr>
          <w:rFonts w:asciiTheme="majorBidi" w:hAnsiTheme="majorBidi" w:cstheme="majorBidi"/>
          <w:bCs/>
        </w:rPr>
        <w:t>for women’s land rights.</w:t>
      </w:r>
    </w:p>
    <w:p w:rsidR="002074BA" w:rsidRDefault="002074BA" w:rsidP="00976670">
      <w:pPr>
        <w:rPr>
          <w:b/>
        </w:rPr>
      </w:pPr>
    </w:p>
    <w:p w:rsidR="00365A11" w:rsidRDefault="003149F5" w:rsidP="00976670">
      <w:pPr>
        <w:rPr>
          <w:b/>
        </w:rPr>
      </w:pPr>
      <w:r>
        <w:rPr>
          <w:b/>
        </w:rPr>
        <w:t>Land, Ethnicity and Conflict</w:t>
      </w:r>
    </w:p>
    <w:p w:rsidR="00365A11" w:rsidRPr="00620E56" w:rsidRDefault="005D26A2" w:rsidP="00BC1865">
      <w:pPr>
        <w:pStyle w:val="ListParagraph"/>
        <w:ind w:left="360" w:hanging="360"/>
        <w:jc w:val="both"/>
        <w:rPr>
          <w:rFonts w:asciiTheme="majorBidi" w:hAnsiTheme="majorBidi" w:cstheme="majorBidi"/>
          <w:bCs/>
        </w:rPr>
      </w:pPr>
      <w:r>
        <w:t xml:space="preserve">41. </w:t>
      </w:r>
      <w:r w:rsidR="00430357">
        <w:t xml:space="preserve">There is a need to ensure land policies </w:t>
      </w:r>
      <w:r w:rsidR="00250FAD">
        <w:t xml:space="preserve">and land administration </w:t>
      </w:r>
      <w:r w:rsidR="00430357">
        <w:t>are effective in mitigating land and ethnic based conflicts. In this regard</w:t>
      </w:r>
      <w:r w:rsidR="00250FAD">
        <w:t>,</w:t>
      </w:r>
      <w:r w:rsidR="00430357">
        <w:t xml:space="preserve"> t</w:t>
      </w:r>
      <w:r w:rsidR="00114AC3" w:rsidRPr="00114AC3">
        <w:t xml:space="preserve">here is </w:t>
      </w:r>
      <w:r w:rsidR="00430357">
        <w:t xml:space="preserve">a </w:t>
      </w:r>
      <w:r w:rsidR="00114AC3" w:rsidRPr="00114AC3">
        <w:t xml:space="preserve">need to develop </w:t>
      </w:r>
      <w:r w:rsidR="00365A11" w:rsidRPr="00114AC3">
        <w:t xml:space="preserve">guidelines for </w:t>
      </w:r>
      <w:r w:rsidR="00114AC3" w:rsidRPr="00114AC3">
        <w:t xml:space="preserve">preventing and </w:t>
      </w:r>
      <w:r w:rsidR="00365A11" w:rsidRPr="00114AC3">
        <w:t>addressing land, ethnicity and conflict</w:t>
      </w:r>
      <w:r w:rsidR="00114AC3" w:rsidRPr="00114AC3">
        <w:t>s</w:t>
      </w:r>
      <w:r w:rsidR="00365A11" w:rsidRPr="00114AC3">
        <w:t xml:space="preserve"> in Africa</w:t>
      </w:r>
      <w:r w:rsidR="00114AC3" w:rsidRPr="00114AC3">
        <w:t xml:space="preserve"> for use by governments, peace negotiators and those involved in peace building </w:t>
      </w:r>
    </w:p>
    <w:sectPr w:rsidR="00365A11" w:rsidRPr="00620E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96F" w:rsidRDefault="00A4796F" w:rsidP="008335AE">
      <w:r>
        <w:separator/>
      </w:r>
    </w:p>
  </w:endnote>
  <w:endnote w:type="continuationSeparator" w:id="0">
    <w:p w:rsidR="00A4796F" w:rsidRDefault="00A4796F" w:rsidP="0083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373728"/>
      <w:docPartObj>
        <w:docPartGallery w:val="Page Numbers (Bottom of Page)"/>
        <w:docPartUnique/>
      </w:docPartObj>
    </w:sdtPr>
    <w:sdtEndPr>
      <w:rPr>
        <w:noProof/>
      </w:rPr>
    </w:sdtEndPr>
    <w:sdtContent>
      <w:p w:rsidR="0089507B" w:rsidRDefault="0089507B">
        <w:pPr>
          <w:pStyle w:val="Footer"/>
          <w:jc w:val="right"/>
        </w:pPr>
        <w:r>
          <w:fldChar w:fldCharType="begin"/>
        </w:r>
        <w:r>
          <w:instrText xml:space="preserve"> PAGE   \* MERGEFORMAT </w:instrText>
        </w:r>
        <w:r>
          <w:fldChar w:fldCharType="separate"/>
        </w:r>
        <w:r w:rsidR="00FB1391">
          <w:rPr>
            <w:noProof/>
          </w:rPr>
          <w:t>2</w:t>
        </w:r>
        <w:r>
          <w:rPr>
            <w:noProof/>
          </w:rPr>
          <w:fldChar w:fldCharType="end"/>
        </w:r>
      </w:p>
    </w:sdtContent>
  </w:sdt>
  <w:p w:rsidR="0089507B" w:rsidRDefault="00895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96F" w:rsidRDefault="00A4796F" w:rsidP="008335AE">
      <w:r>
        <w:separator/>
      </w:r>
    </w:p>
  </w:footnote>
  <w:footnote w:type="continuationSeparator" w:id="0">
    <w:p w:rsidR="00A4796F" w:rsidRDefault="00A4796F" w:rsidP="008335AE">
      <w:r>
        <w:continuationSeparator/>
      </w:r>
    </w:p>
  </w:footnote>
  <w:footnote w:id="1">
    <w:p w:rsidR="00861EAA" w:rsidRDefault="00861EAA" w:rsidP="00932419">
      <w:pPr>
        <w:pStyle w:val="FootnoteText"/>
      </w:pPr>
      <w:r>
        <w:rPr>
          <w:rStyle w:val="FootnoteReference"/>
        </w:rPr>
        <w:footnoteRef/>
      </w:r>
      <w:r>
        <w:t xml:space="preserve"> </w:t>
      </w:r>
      <w:r w:rsidR="00312475">
        <w:t xml:space="preserve">First Ten-Year Implementation Plan 2014 – 2023: The Africa We Want A Shared Strategic Framework for Inclusive Growth and Sustainable Development,  </w:t>
      </w:r>
      <w:r w:rsidR="00D339C1">
        <w:t xml:space="preserve">AUC, </w:t>
      </w:r>
      <w:r w:rsidR="00312475">
        <w:t>September 2015</w:t>
      </w:r>
    </w:p>
  </w:footnote>
  <w:footnote w:id="2">
    <w:p w:rsidR="00861EAA" w:rsidRPr="009370C1" w:rsidRDefault="00861EAA" w:rsidP="00D339C1">
      <w:pPr>
        <w:jc w:val="both"/>
        <w:rPr>
          <w:sz w:val="16"/>
        </w:rPr>
      </w:pPr>
      <w:r w:rsidRPr="009370C1">
        <w:rPr>
          <w:rStyle w:val="FootnoteReference"/>
          <w:sz w:val="20"/>
        </w:rPr>
        <w:footnoteRef/>
      </w:r>
      <w:r w:rsidR="00312475">
        <w:rPr>
          <w:sz w:val="20"/>
        </w:rPr>
        <w:t xml:space="preserve"> </w:t>
      </w:r>
      <w:r w:rsidRPr="009370C1">
        <w:rPr>
          <w:sz w:val="20"/>
        </w:rPr>
        <w:t>Declaration on Land Issues and Challenges in Africa</w:t>
      </w:r>
      <w:r w:rsidR="00D339C1">
        <w:rPr>
          <w:sz w:val="20"/>
        </w:rPr>
        <w:t>,</w:t>
      </w:r>
      <w:r w:rsidRPr="009370C1">
        <w:rPr>
          <w:sz w:val="20"/>
        </w:rPr>
        <w:t xml:space="preserve"> Assembly/AU/Decl./ (XIII) Rev. I</w:t>
      </w:r>
      <w:r w:rsidR="00D339C1">
        <w:rPr>
          <w:sz w:val="20"/>
        </w:rPr>
        <w:t>, 2009</w:t>
      </w:r>
    </w:p>
  </w:footnote>
  <w:footnote w:id="3">
    <w:p w:rsidR="00A41798" w:rsidRDefault="00A41798">
      <w:pPr>
        <w:pStyle w:val="FootnoteText"/>
      </w:pPr>
      <w:r>
        <w:rPr>
          <w:rStyle w:val="FootnoteReference"/>
        </w:rPr>
        <w:footnoteRef/>
      </w:r>
      <w:r>
        <w:t>Country CAADP Implementation Guidelines under the Malabo Declaration</w:t>
      </w:r>
      <w:r w:rsidR="00D339C1">
        <w:t>, 1.</w:t>
      </w:r>
    </w:p>
  </w:footnote>
  <w:footnote w:id="4">
    <w:p w:rsidR="00861EAA" w:rsidRPr="00E87849" w:rsidRDefault="00861EAA" w:rsidP="004C4BBD">
      <w:pPr>
        <w:jc w:val="both"/>
        <w:rPr>
          <w:sz w:val="20"/>
          <w:szCs w:val="20"/>
        </w:rPr>
      </w:pPr>
      <w:r w:rsidRPr="00E87849">
        <w:rPr>
          <w:rStyle w:val="FootnoteReference"/>
          <w:sz w:val="20"/>
          <w:szCs w:val="20"/>
        </w:rPr>
        <w:footnoteRef/>
      </w:r>
      <w:r w:rsidRPr="00E87849">
        <w:rPr>
          <w:sz w:val="20"/>
          <w:szCs w:val="20"/>
        </w:rPr>
        <w:t xml:space="preserve"> Framework and Guidelines on Land Policy in Africa: A framework to Strengthen Land Rights, Enhance Productivity </w:t>
      </w:r>
      <w:r w:rsidR="00827F1D" w:rsidRPr="00E87849">
        <w:rPr>
          <w:sz w:val="20"/>
          <w:szCs w:val="20"/>
        </w:rPr>
        <w:t xml:space="preserve">and Secure Livelihood, </w:t>
      </w:r>
      <w:r w:rsidR="00CF7EF3">
        <w:rPr>
          <w:sz w:val="20"/>
          <w:szCs w:val="20"/>
        </w:rPr>
        <w:t>AU/AUC/AfDB, 2010.</w:t>
      </w:r>
    </w:p>
  </w:footnote>
  <w:footnote w:id="5">
    <w:p w:rsidR="00827F1D" w:rsidRPr="00E87849" w:rsidRDefault="00827F1D" w:rsidP="004C4BBD">
      <w:pPr>
        <w:pStyle w:val="ListParagraph"/>
        <w:ind w:left="0"/>
        <w:jc w:val="both"/>
        <w:rPr>
          <w:sz w:val="20"/>
          <w:szCs w:val="20"/>
        </w:rPr>
      </w:pPr>
      <w:r w:rsidRPr="00E87849">
        <w:rPr>
          <w:rStyle w:val="FootnoteReference"/>
          <w:sz w:val="20"/>
          <w:szCs w:val="20"/>
        </w:rPr>
        <w:footnoteRef/>
      </w:r>
      <w:r w:rsidRPr="00E87849">
        <w:rPr>
          <w:sz w:val="20"/>
          <w:szCs w:val="20"/>
        </w:rPr>
        <w:t xml:space="preserve"> Country CAADP Implementation Guidelines under the Malabo Declaration</w:t>
      </w:r>
    </w:p>
  </w:footnote>
  <w:footnote w:id="6">
    <w:p w:rsidR="00861EAA" w:rsidRPr="00E87849" w:rsidRDefault="00861EAA" w:rsidP="00827F1D">
      <w:pPr>
        <w:pStyle w:val="FootnoteText"/>
      </w:pPr>
      <w:r w:rsidRPr="00E87849">
        <w:rPr>
          <w:rStyle w:val="FootnoteReference"/>
        </w:rPr>
        <w:footnoteRef/>
      </w:r>
      <w:r w:rsidRPr="00E87849">
        <w:t xml:space="preserve"> Technical Guidelines: Document for preparing country Biennial Review report on progress made for achieving the Malab</w:t>
      </w:r>
      <w:r w:rsidR="00827F1D" w:rsidRPr="00E87849">
        <w:t xml:space="preserve">o Declaration Goals and Targets, </w:t>
      </w:r>
      <w:r w:rsidR="00CF7EF3">
        <w:t>AUC, 2017</w:t>
      </w:r>
    </w:p>
    <w:p w:rsidR="00861EAA" w:rsidRDefault="00861EAA" w:rsidP="00082549">
      <w:pPr>
        <w:pStyle w:val="FootnoteText"/>
      </w:pPr>
      <w:r>
        <w:t xml:space="preserve"> </w:t>
      </w:r>
    </w:p>
    <w:p w:rsidR="00861EAA" w:rsidRDefault="00861EAA" w:rsidP="00082549">
      <w:pPr>
        <w:pStyle w:val="FootnoteText"/>
      </w:pPr>
      <w:r>
        <w:t xml:space="preserve"> </w:t>
      </w:r>
    </w:p>
    <w:p w:rsidR="00861EAA" w:rsidRDefault="00861EAA" w:rsidP="00082549">
      <w:pPr>
        <w:pStyle w:val="FootnoteText"/>
      </w:pPr>
      <w:r>
        <w:t xml:space="preserve"> </w:t>
      </w:r>
    </w:p>
    <w:p w:rsidR="00861EAA" w:rsidRDefault="00861EAA" w:rsidP="00082549">
      <w:pPr>
        <w:pStyle w:val="FootnoteText"/>
      </w:pPr>
      <w:r>
        <w:t xml:space="preserve"> </w:t>
      </w:r>
    </w:p>
    <w:p w:rsidR="00861EAA" w:rsidRDefault="00861EAA" w:rsidP="00082549">
      <w:pPr>
        <w:pStyle w:val="FootnoteText"/>
      </w:pPr>
      <w:r>
        <w:t xml:space="preserve"> </w:t>
      </w:r>
    </w:p>
    <w:p w:rsidR="00861EAA" w:rsidRDefault="00861EAA" w:rsidP="00082549">
      <w:pPr>
        <w:pStyle w:val="FootnoteText"/>
      </w:pPr>
      <w:r>
        <w:t xml:space="preserve"> </w:t>
      </w:r>
    </w:p>
    <w:p w:rsidR="00861EAA" w:rsidRDefault="00861EAA" w:rsidP="00082549">
      <w:pPr>
        <w:pStyle w:val="FootnoteText"/>
      </w:pPr>
      <w:r>
        <w:t xml:space="preserve"> </w:t>
      </w:r>
    </w:p>
    <w:p w:rsidR="00861EAA" w:rsidRDefault="00861EAA" w:rsidP="00082549">
      <w:pPr>
        <w:pStyle w:val="FootnoteText"/>
      </w:pPr>
      <w:r>
        <w:t xml:space="preserve"> </w:t>
      </w:r>
    </w:p>
  </w:footnote>
  <w:footnote w:id="7">
    <w:p w:rsidR="008E28AF" w:rsidRPr="008E28AF" w:rsidRDefault="008E28AF" w:rsidP="008E28AF">
      <w:pPr>
        <w:pStyle w:val="ListParagraph"/>
        <w:ind w:left="0"/>
        <w:rPr>
          <w:sz w:val="20"/>
          <w:szCs w:val="20"/>
        </w:rPr>
      </w:pPr>
      <w:r>
        <w:rPr>
          <w:rStyle w:val="FootnoteReference"/>
        </w:rPr>
        <w:footnoteRef/>
      </w:r>
      <w:r>
        <w:t xml:space="preserve"> </w:t>
      </w:r>
      <w:r w:rsidRPr="008E28AF">
        <w:rPr>
          <w:sz w:val="20"/>
          <w:szCs w:val="20"/>
        </w:rPr>
        <w:t>Report of the</w:t>
      </w:r>
      <w:r>
        <w:t xml:space="preserve"> </w:t>
      </w:r>
      <w:r w:rsidRPr="008E28AF">
        <w:rPr>
          <w:sz w:val="20"/>
          <w:szCs w:val="20"/>
        </w:rPr>
        <w:t>Inaugural Conference of the Specialized Technical Committee on Agriculture, Rural Development, Water and Environment</w:t>
      </w:r>
      <w:r>
        <w:rPr>
          <w:sz w:val="20"/>
          <w:szCs w:val="20"/>
        </w:rPr>
        <w:t>, AUC, 2015</w:t>
      </w:r>
    </w:p>
    <w:p w:rsidR="008E28AF" w:rsidRDefault="008E28AF">
      <w:pPr>
        <w:pStyle w:val="FootnoteText"/>
      </w:pPr>
    </w:p>
  </w:footnote>
  <w:footnote w:id="8">
    <w:p w:rsidR="00861EAA" w:rsidRDefault="00861EAA" w:rsidP="004A35C2">
      <w:pPr>
        <w:pStyle w:val="FootnoteText"/>
      </w:pPr>
      <w:r>
        <w:rPr>
          <w:rStyle w:val="FootnoteReference"/>
        </w:rPr>
        <w:footnoteRef/>
      </w:r>
      <w:r>
        <w:t xml:space="preserve"> Cote d’Ivoire, Democratic Republic of Congo, Ethiopia, Kenya, Madagascar, Malawi, Niger, Nigeria, Rwanda, Tanzania, Uganda, Zambia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4413"/>
    <w:multiLevelType w:val="hybridMultilevel"/>
    <w:tmpl w:val="7FCC5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950BC"/>
    <w:multiLevelType w:val="hybridMultilevel"/>
    <w:tmpl w:val="8572E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247A6"/>
    <w:multiLevelType w:val="hybridMultilevel"/>
    <w:tmpl w:val="C928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43A3D"/>
    <w:multiLevelType w:val="hybridMultilevel"/>
    <w:tmpl w:val="03F2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756D3"/>
    <w:multiLevelType w:val="multilevel"/>
    <w:tmpl w:val="5FB89E28"/>
    <w:lvl w:ilvl="0">
      <w:start w:val="2"/>
      <w:numFmt w:val="decimal"/>
      <w:lvlText w:val="%1"/>
      <w:lvlJc w:val="left"/>
      <w:pPr>
        <w:ind w:left="430" w:hanging="4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F97247F"/>
    <w:multiLevelType w:val="hybridMultilevel"/>
    <w:tmpl w:val="497EEC80"/>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F138DE"/>
    <w:multiLevelType w:val="hybridMultilevel"/>
    <w:tmpl w:val="6F7AF650"/>
    <w:lvl w:ilvl="0" w:tplc="41B2CB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8F4"/>
    <w:multiLevelType w:val="hybridMultilevel"/>
    <w:tmpl w:val="1B70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17A0D"/>
    <w:multiLevelType w:val="hybridMultilevel"/>
    <w:tmpl w:val="9842917A"/>
    <w:lvl w:ilvl="0" w:tplc="0409000F">
      <w:start w:val="1"/>
      <w:numFmt w:val="decimal"/>
      <w:lvlText w:val="%1."/>
      <w:lvlJc w:val="left"/>
      <w:pPr>
        <w:ind w:left="720" w:hanging="360"/>
      </w:pPr>
      <w:rPr>
        <w:rFonts w:cs="Times New Roman"/>
      </w:rPr>
    </w:lvl>
    <w:lvl w:ilvl="1" w:tplc="F7BC89C4">
      <w:start w:val="2"/>
      <w:numFmt w:val="bullet"/>
      <w:lvlText w:val="-"/>
      <w:lvlJc w:val="left"/>
      <w:pPr>
        <w:tabs>
          <w:tab w:val="num" w:pos="1440"/>
        </w:tabs>
        <w:ind w:left="1440" w:hanging="360"/>
      </w:pPr>
      <w:rPr>
        <w:rFonts w:ascii="Times New Roman" w:eastAsia="Times New Roman" w:hAnsi="Times New Roman" w:hint="default"/>
      </w:rPr>
    </w:lvl>
    <w:lvl w:ilvl="2" w:tplc="743213A0">
      <w:start w:val="5"/>
      <w:numFmt w:val="decimal"/>
      <w:lvlText w:val="%3"/>
      <w:lvlJc w:val="left"/>
      <w:pPr>
        <w:tabs>
          <w:tab w:val="num" w:pos="2700"/>
        </w:tabs>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73E1D49"/>
    <w:multiLevelType w:val="hybridMultilevel"/>
    <w:tmpl w:val="6888A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F3566"/>
    <w:multiLevelType w:val="hybridMultilevel"/>
    <w:tmpl w:val="814CC2B2"/>
    <w:lvl w:ilvl="0" w:tplc="D758C9F0">
      <w:start w:val="1"/>
      <w:numFmt w:val="bullet"/>
      <w:lvlText w:val="•"/>
      <w:lvlJc w:val="left"/>
      <w:pPr>
        <w:tabs>
          <w:tab w:val="num" w:pos="720"/>
        </w:tabs>
        <w:ind w:left="720" w:hanging="360"/>
      </w:pPr>
      <w:rPr>
        <w:rFonts w:ascii="Arial" w:hAnsi="Arial" w:hint="default"/>
      </w:rPr>
    </w:lvl>
    <w:lvl w:ilvl="1" w:tplc="9A66AD90" w:tentative="1">
      <w:start w:val="1"/>
      <w:numFmt w:val="bullet"/>
      <w:lvlText w:val="•"/>
      <w:lvlJc w:val="left"/>
      <w:pPr>
        <w:tabs>
          <w:tab w:val="num" w:pos="1440"/>
        </w:tabs>
        <w:ind w:left="1440" w:hanging="360"/>
      </w:pPr>
      <w:rPr>
        <w:rFonts w:ascii="Arial" w:hAnsi="Arial" w:hint="default"/>
      </w:rPr>
    </w:lvl>
    <w:lvl w:ilvl="2" w:tplc="214017EE" w:tentative="1">
      <w:start w:val="1"/>
      <w:numFmt w:val="bullet"/>
      <w:lvlText w:val="•"/>
      <w:lvlJc w:val="left"/>
      <w:pPr>
        <w:tabs>
          <w:tab w:val="num" w:pos="2160"/>
        </w:tabs>
        <w:ind w:left="2160" w:hanging="360"/>
      </w:pPr>
      <w:rPr>
        <w:rFonts w:ascii="Arial" w:hAnsi="Arial" w:hint="default"/>
      </w:rPr>
    </w:lvl>
    <w:lvl w:ilvl="3" w:tplc="89201BD8" w:tentative="1">
      <w:start w:val="1"/>
      <w:numFmt w:val="bullet"/>
      <w:lvlText w:val="•"/>
      <w:lvlJc w:val="left"/>
      <w:pPr>
        <w:tabs>
          <w:tab w:val="num" w:pos="2880"/>
        </w:tabs>
        <w:ind w:left="2880" w:hanging="360"/>
      </w:pPr>
      <w:rPr>
        <w:rFonts w:ascii="Arial" w:hAnsi="Arial" w:hint="default"/>
      </w:rPr>
    </w:lvl>
    <w:lvl w:ilvl="4" w:tplc="8B3289C2" w:tentative="1">
      <w:start w:val="1"/>
      <w:numFmt w:val="bullet"/>
      <w:lvlText w:val="•"/>
      <w:lvlJc w:val="left"/>
      <w:pPr>
        <w:tabs>
          <w:tab w:val="num" w:pos="3600"/>
        </w:tabs>
        <w:ind w:left="3600" w:hanging="360"/>
      </w:pPr>
      <w:rPr>
        <w:rFonts w:ascii="Arial" w:hAnsi="Arial" w:hint="default"/>
      </w:rPr>
    </w:lvl>
    <w:lvl w:ilvl="5" w:tplc="40E4E150" w:tentative="1">
      <w:start w:val="1"/>
      <w:numFmt w:val="bullet"/>
      <w:lvlText w:val="•"/>
      <w:lvlJc w:val="left"/>
      <w:pPr>
        <w:tabs>
          <w:tab w:val="num" w:pos="4320"/>
        </w:tabs>
        <w:ind w:left="4320" w:hanging="360"/>
      </w:pPr>
      <w:rPr>
        <w:rFonts w:ascii="Arial" w:hAnsi="Arial" w:hint="default"/>
      </w:rPr>
    </w:lvl>
    <w:lvl w:ilvl="6" w:tplc="7C567E1E" w:tentative="1">
      <w:start w:val="1"/>
      <w:numFmt w:val="bullet"/>
      <w:lvlText w:val="•"/>
      <w:lvlJc w:val="left"/>
      <w:pPr>
        <w:tabs>
          <w:tab w:val="num" w:pos="5040"/>
        </w:tabs>
        <w:ind w:left="5040" w:hanging="360"/>
      </w:pPr>
      <w:rPr>
        <w:rFonts w:ascii="Arial" w:hAnsi="Arial" w:hint="default"/>
      </w:rPr>
    </w:lvl>
    <w:lvl w:ilvl="7" w:tplc="A5D0BF34" w:tentative="1">
      <w:start w:val="1"/>
      <w:numFmt w:val="bullet"/>
      <w:lvlText w:val="•"/>
      <w:lvlJc w:val="left"/>
      <w:pPr>
        <w:tabs>
          <w:tab w:val="num" w:pos="5760"/>
        </w:tabs>
        <w:ind w:left="5760" w:hanging="360"/>
      </w:pPr>
      <w:rPr>
        <w:rFonts w:ascii="Arial" w:hAnsi="Arial" w:hint="default"/>
      </w:rPr>
    </w:lvl>
    <w:lvl w:ilvl="8" w:tplc="DE1A3D48" w:tentative="1">
      <w:start w:val="1"/>
      <w:numFmt w:val="bullet"/>
      <w:lvlText w:val="•"/>
      <w:lvlJc w:val="left"/>
      <w:pPr>
        <w:tabs>
          <w:tab w:val="num" w:pos="6480"/>
        </w:tabs>
        <w:ind w:left="6480" w:hanging="360"/>
      </w:pPr>
      <w:rPr>
        <w:rFonts w:ascii="Arial" w:hAnsi="Arial" w:hint="default"/>
      </w:rPr>
    </w:lvl>
  </w:abstractNum>
  <w:abstractNum w:abstractNumId="11">
    <w:nsid w:val="2B563920"/>
    <w:multiLevelType w:val="hybridMultilevel"/>
    <w:tmpl w:val="8180963A"/>
    <w:lvl w:ilvl="0" w:tplc="C7F21462">
      <w:start w:val="1"/>
      <w:numFmt w:val="bullet"/>
      <w:lvlText w:val="•"/>
      <w:lvlJc w:val="left"/>
      <w:pPr>
        <w:tabs>
          <w:tab w:val="num" w:pos="720"/>
        </w:tabs>
        <w:ind w:left="720" w:hanging="360"/>
      </w:pPr>
      <w:rPr>
        <w:rFonts w:ascii="Arial" w:hAnsi="Arial" w:hint="default"/>
      </w:rPr>
    </w:lvl>
    <w:lvl w:ilvl="1" w:tplc="688087CA">
      <w:numFmt w:val="bullet"/>
      <w:lvlText w:val="•"/>
      <w:lvlJc w:val="left"/>
      <w:pPr>
        <w:tabs>
          <w:tab w:val="num" w:pos="1440"/>
        </w:tabs>
        <w:ind w:left="1440" w:hanging="360"/>
      </w:pPr>
      <w:rPr>
        <w:rFonts w:ascii="Arial" w:hAnsi="Arial" w:hint="default"/>
      </w:rPr>
    </w:lvl>
    <w:lvl w:ilvl="2" w:tplc="FA680298" w:tentative="1">
      <w:start w:val="1"/>
      <w:numFmt w:val="bullet"/>
      <w:lvlText w:val="•"/>
      <w:lvlJc w:val="left"/>
      <w:pPr>
        <w:tabs>
          <w:tab w:val="num" w:pos="2160"/>
        </w:tabs>
        <w:ind w:left="2160" w:hanging="360"/>
      </w:pPr>
      <w:rPr>
        <w:rFonts w:ascii="Arial" w:hAnsi="Arial" w:hint="default"/>
      </w:rPr>
    </w:lvl>
    <w:lvl w:ilvl="3" w:tplc="CCB4A7A2" w:tentative="1">
      <w:start w:val="1"/>
      <w:numFmt w:val="bullet"/>
      <w:lvlText w:val="•"/>
      <w:lvlJc w:val="left"/>
      <w:pPr>
        <w:tabs>
          <w:tab w:val="num" w:pos="2880"/>
        </w:tabs>
        <w:ind w:left="2880" w:hanging="360"/>
      </w:pPr>
      <w:rPr>
        <w:rFonts w:ascii="Arial" w:hAnsi="Arial" w:hint="default"/>
      </w:rPr>
    </w:lvl>
    <w:lvl w:ilvl="4" w:tplc="9A52D73C" w:tentative="1">
      <w:start w:val="1"/>
      <w:numFmt w:val="bullet"/>
      <w:lvlText w:val="•"/>
      <w:lvlJc w:val="left"/>
      <w:pPr>
        <w:tabs>
          <w:tab w:val="num" w:pos="3600"/>
        </w:tabs>
        <w:ind w:left="3600" w:hanging="360"/>
      </w:pPr>
      <w:rPr>
        <w:rFonts w:ascii="Arial" w:hAnsi="Arial" w:hint="default"/>
      </w:rPr>
    </w:lvl>
    <w:lvl w:ilvl="5" w:tplc="A440A124" w:tentative="1">
      <w:start w:val="1"/>
      <w:numFmt w:val="bullet"/>
      <w:lvlText w:val="•"/>
      <w:lvlJc w:val="left"/>
      <w:pPr>
        <w:tabs>
          <w:tab w:val="num" w:pos="4320"/>
        </w:tabs>
        <w:ind w:left="4320" w:hanging="360"/>
      </w:pPr>
      <w:rPr>
        <w:rFonts w:ascii="Arial" w:hAnsi="Arial" w:hint="default"/>
      </w:rPr>
    </w:lvl>
    <w:lvl w:ilvl="6" w:tplc="690A0452" w:tentative="1">
      <w:start w:val="1"/>
      <w:numFmt w:val="bullet"/>
      <w:lvlText w:val="•"/>
      <w:lvlJc w:val="left"/>
      <w:pPr>
        <w:tabs>
          <w:tab w:val="num" w:pos="5040"/>
        </w:tabs>
        <w:ind w:left="5040" w:hanging="360"/>
      </w:pPr>
      <w:rPr>
        <w:rFonts w:ascii="Arial" w:hAnsi="Arial" w:hint="default"/>
      </w:rPr>
    </w:lvl>
    <w:lvl w:ilvl="7" w:tplc="2D7C7816" w:tentative="1">
      <w:start w:val="1"/>
      <w:numFmt w:val="bullet"/>
      <w:lvlText w:val="•"/>
      <w:lvlJc w:val="left"/>
      <w:pPr>
        <w:tabs>
          <w:tab w:val="num" w:pos="5760"/>
        </w:tabs>
        <w:ind w:left="5760" w:hanging="360"/>
      </w:pPr>
      <w:rPr>
        <w:rFonts w:ascii="Arial" w:hAnsi="Arial" w:hint="default"/>
      </w:rPr>
    </w:lvl>
    <w:lvl w:ilvl="8" w:tplc="4538DC74" w:tentative="1">
      <w:start w:val="1"/>
      <w:numFmt w:val="bullet"/>
      <w:lvlText w:val="•"/>
      <w:lvlJc w:val="left"/>
      <w:pPr>
        <w:tabs>
          <w:tab w:val="num" w:pos="6480"/>
        </w:tabs>
        <w:ind w:left="6480" w:hanging="360"/>
      </w:pPr>
      <w:rPr>
        <w:rFonts w:ascii="Arial" w:hAnsi="Arial" w:hint="default"/>
      </w:rPr>
    </w:lvl>
  </w:abstractNum>
  <w:abstractNum w:abstractNumId="12">
    <w:nsid w:val="2C0D26CA"/>
    <w:multiLevelType w:val="hybridMultilevel"/>
    <w:tmpl w:val="378C4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ED42AB"/>
    <w:multiLevelType w:val="hybridMultilevel"/>
    <w:tmpl w:val="B2EC92A8"/>
    <w:lvl w:ilvl="0" w:tplc="C9D201C4">
      <w:start w:val="1"/>
      <w:numFmt w:val="bullet"/>
      <w:lvlText w:val="•"/>
      <w:lvlJc w:val="left"/>
      <w:pPr>
        <w:tabs>
          <w:tab w:val="num" w:pos="720"/>
        </w:tabs>
        <w:ind w:left="720" w:hanging="360"/>
      </w:pPr>
      <w:rPr>
        <w:rFonts w:ascii="Arial" w:hAnsi="Arial" w:hint="default"/>
      </w:rPr>
    </w:lvl>
    <w:lvl w:ilvl="1" w:tplc="1054A664">
      <w:start w:val="1"/>
      <w:numFmt w:val="bullet"/>
      <w:lvlText w:val="•"/>
      <w:lvlJc w:val="left"/>
      <w:pPr>
        <w:tabs>
          <w:tab w:val="num" w:pos="1440"/>
        </w:tabs>
        <w:ind w:left="1440" w:hanging="360"/>
      </w:pPr>
      <w:rPr>
        <w:rFonts w:ascii="Arial" w:hAnsi="Arial" w:hint="default"/>
      </w:rPr>
    </w:lvl>
    <w:lvl w:ilvl="2" w:tplc="C4EE62F0">
      <w:numFmt w:val="bullet"/>
      <w:lvlText w:val="•"/>
      <w:lvlJc w:val="left"/>
      <w:pPr>
        <w:tabs>
          <w:tab w:val="num" w:pos="2160"/>
        </w:tabs>
        <w:ind w:left="2160" w:hanging="360"/>
      </w:pPr>
      <w:rPr>
        <w:rFonts w:ascii="Arial" w:hAnsi="Arial" w:hint="default"/>
      </w:rPr>
    </w:lvl>
    <w:lvl w:ilvl="3" w:tplc="0B38AE84" w:tentative="1">
      <w:start w:val="1"/>
      <w:numFmt w:val="bullet"/>
      <w:lvlText w:val="•"/>
      <w:lvlJc w:val="left"/>
      <w:pPr>
        <w:tabs>
          <w:tab w:val="num" w:pos="2880"/>
        </w:tabs>
        <w:ind w:left="2880" w:hanging="360"/>
      </w:pPr>
      <w:rPr>
        <w:rFonts w:ascii="Arial" w:hAnsi="Arial" w:hint="default"/>
      </w:rPr>
    </w:lvl>
    <w:lvl w:ilvl="4" w:tplc="892CD180" w:tentative="1">
      <w:start w:val="1"/>
      <w:numFmt w:val="bullet"/>
      <w:lvlText w:val="•"/>
      <w:lvlJc w:val="left"/>
      <w:pPr>
        <w:tabs>
          <w:tab w:val="num" w:pos="3600"/>
        </w:tabs>
        <w:ind w:left="3600" w:hanging="360"/>
      </w:pPr>
      <w:rPr>
        <w:rFonts w:ascii="Arial" w:hAnsi="Arial" w:hint="default"/>
      </w:rPr>
    </w:lvl>
    <w:lvl w:ilvl="5" w:tplc="D7102AAC" w:tentative="1">
      <w:start w:val="1"/>
      <w:numFmt w:val="bullet"/>
      <w:lvlText w:val="•"/>
      <w:lvlJc w:val="left"/>
      <w:pPr>
        <w:tabs>
          <w:tab w:val="num" w:pos="4320"/>
        </w:tabs>
        <w:ind w:left="4320" w:hanging="360"/>
      </w:pPr>
      <w:rPr>
        <w:rFonts w:ascii="Arial" w:hAnsi="Arial" w:hint="default"/>
      </w:rPr>
    </w:lvl>
    <w:lvl w:ilvl="6" w:tplc="7E527E0C" w:tentative="1">
      <w:start w:val="1"/>
      <w:numFmt w:val="bullet"/>
      <w:lvlText w:val="•"/>
      <w:lvlJc w:val="left"/>
      <w:pPr>
        <w:tabs>
          <w:tab w:val="num" w:pos="5040"/>
        </w:tabs>
        <w:ind w:left="5040" w:hanging="360"/>
      </w:pPr>
      <w:rPr>
        <w:rFonts w:ascii="Arial" w:hAnsi="Arial" w:hint="default"/>
      </w:rPr>
    </w:lvl>
    <w:lvl w:ilvl="7" w:tplc="22F8CD2C" w:tentative="1">
      <w:start w:val="1"/>
      <w:numFmt w:val="bullet"/>
      <w:lvlText w:val="•"/>
      <w:lvlJc w:val="left"/>
      <w:pPr>
        <w:tabs>
          <w:tab w:val="num" w:pos="5760"/>
        </w:tabs>
        <w:ind w:left="5760" w:hanging="360"/>
      </w:pPr>
      <w:rPr>
        <w:rFonts w:ascii="Arial" w:hAnsi="Arial" w:hint="default"/>
      </w:rPr>
    </w:lvl>
    <w:lvl w:ilvl="8" w:tplc="CFA6940E" w:tentative="1">
      <w:start w:val="1"/>
      <w:numFmt w:val="bullet"/>
      <w:lvlText w:val="•"/>
      <w:lvlJc w:val="left"/>
      <w:pPr>
        <w:tabs>
          <w:tab w:val="num" w:pos="6480"/>
        </w:tabs>
        <w:ind w:left="6480" w:hanging="360"/>
      </w:pPr>
      <w:rPr>
        <w:rFonts w:ascii="Arial" w:hAnsi="Arial" w:hint="default"/>
      </w:rPr>
    </w:lvl>
  </w:abstractNum>
  <w:abstractNum w:abstractNumId="14">
    <w:nsid w:val="38805704"/>
    <w:multiLevelType w:val="hybridMultilevel"/>
    <w:tmpl w:val="F1BA10C4"/>
    <w:lvl w:ilvl="0" w:tplc="CCD24E96">
      <w:start w:val="1"/>
      <w:numFmt w:val="decimal"/>
      <w:lvlText w:val="%1."/>
      <w:lvlJc w:val="left"/>
      <w:pPr>
        <w:ind w:left="360" w:hanging="360"/>
      </w:pPr>
      <w:rPr>
        <w:rFonts w:ascii="Times New Roman" w:eastAsia="Times New Roman" w:hAnsi="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DDB457C"/>
    <w:multiLevelType w:val="hybridMultilevel"/>
    <w:tmpl w:val="E8CA10B0"/>
    <w:lvl w:ilvl="0" w:tplc="77BAAB28">
      <w:start w:val="1"/>
      <w:numFmt w:val="bullet"/>
      <w:lvlText w:val="•"/>
      <w:lvlJc w:val="left"/>
      <w:pPr>
        <w:tabs>
          <w:tab w:val="num" w:pos="720"/>
        </w:tabs>
        <w:ind w:left="720" w:hanging="360"/>
      </w:pPr>
      <w:rPr>
        <w:rFonts w:ascii="Arial" w:hAnsi="Arial" w:hint="default"/>
      </w:rPr>
    </w:lvl>
    <w:lvl w:ilvl="1" w:tplc="87543EF6">
      <w:numFmt w:val="bullet"/>
      <w:lvlText w:val="•"/>
      <w:lvlJc w:val="left"/>
      <w:pPr>
        <w:tabs>
          <w:tab w:val="num" w:pos="1440"/>
        </w:tabs>
        <w:ind w:left="1440" w:hanging="360"/>
      </w:pPr>
      <w:rPr>
        <w:rFonts w:ascii="Arial" w:hAnsi="Arial" w:hint="default"/>
      </w:rPr>
    </w:lvl>
    <w:lvl w:ilvl="2" w:tplc="DCBE2206" w:tentative="1">
      <w:start w:val="1"/>
      <w:numFmt w:val="bullet"/>
      <w:lvlText w:val="•"/>
      <w:lvlJc w:val="left"/>
      <w:pPr>
        <w:tabs>
          <w:tab w:val="num" w:pos="2160"/>
        </w:tabs>
        <w:ind w:left="2160" w:hanging="360"/>
      </w:pPr>
      <w:rPr>
        <w:rFonts w:ascii="Arial" w:hAnsi="Arial" w:hint="default"/>
      </w:rPr>
    </w:lvl>
    <w:lvl w:ilvl="3" w:tplc="8BF4A4CC" w:tentative="1">
      <w:start w:val="1"/>
      <w:numFmt w:val="bullet"/>
      <w:lvlText w:val="•"/>
      <w:lvlJc w:val="left"/>
      <w:pPr>
        <w:tabs>
          <w:tab w:val="num" w:pos="2880"/>
        </w:tabs>
        <w:ind w:left="2880" w:hanging="360"/>
      </w:pPr>
      <w:rPr>
        <w:rFonts w:ascii="Arial" w:hAnsi="Arial" w:hint="default"/>
      </w:rPr>
    </w:lvl>
    <w:lvl w:ilvl="4" w:tplc="D42653D6" w:tentative="1">
      <w:start w:val="1"/>
      <w:numFmt w:val="bullet"/>
      <w:lvlText w:val="•"/>
      <w:lvlJc w:val="left"/>
      <w:pPr>
        <w:tabs>
          <w:tab w:val="num" w:pos="3600"/>
        </w:tabs>
        <w:ind w:left="3600" w:hanging="360"/>
      </w:pPr>
      <w:rPr>
        <w:rFonts w:ascii="Arial" w:hAnsi="Arial" w:hint="default"/>
      </w:rPr>
    </w:lvl>
    <w:lvl w:ilvl="5" w:tplc="98A20BCC" w:tentative="1">
      <w:start w:val="1"/>
      <w:numFmt w:val="bullet"/>
      <w:lvlText w:val="•"/>
      <w:lvlJc w:val="left"/>
      <w:pPr>
        <w:tabs>
          <w:tab w:val="num" w:pos="4320"/>
        </w:tabs>
        <w:ind w:left="4320" w:hanging="360"/>
      </w:pPr>
      <w:rPr>
        <w:rFonts w:ascii="Arial" w:hAnsi="Arial" w:hint="default"/>
      </w:rPr>
    </w:lvl>
    <w:lvl w:ilvl="6" w:tplc="05607770" w:tentative="1">
      <w:start w:val="1"/>
      <w:numFmt w:val="bullet"/>
      <w:lvlText w:val="•"/>
      <w:lvlJc w:val="left"/>
      <w:pPr>
        <w:tabs>
          <w:tab w:val="num" w:pos="5040"/>
        </w:tabs>
        <w:ind w:left="5040" w:hanging="360"/>
      </w:pPr>
      <w:rPr>
        <w:rFonts w:ascii="Arial" w:hAnsi="Arial" w:hint="default"/>
      </w:rPr>
    </w:lvl>
    <w:lvl w:ilvl="7" w:tplc="7854BFFC" w:tentative="1">
      <w:start w:val="1"/>
      <w:numFmt w:val="bullet"/>
      <w:lvlText w:val="•"/>
      <w:lvlJc w:val="left"/>
      <w:pPr>
        <w:tabs>
          <w:tab w:val="num" w:pos="5760"/>
        </w:tabs>
        <w:ind w:left="5760" w:hanging="360"/>
      </w:pPr>
      <w:rPr>
        <w:rFonts w:ascii="Arial" w:hAnsi="Arial" w:hint="default"/>
      </w:rPr>
    </w:lvl>
    <w:lvl w:ilvl="8" w:tplc="AD901896" w:tentative="1">
      <w:start w:val="1"/>
      <w:numFmt w:val="bullet"/>
      <w:lvlText w:val="•"/>
      <w:lvlJc w:val="left"/>
      <w:pPr>
        <w:tabs>
          <w:tab w:val="num" w:pos="6480"/>
        </w:tabs>
        <w:ind w:left="6480" w:hanging="360"/>
      </w:pPr>
      <w:rPr>
        <w:rFonts w:ascii="Arial" w:hAnsi="Arial" w:hint="default"/>
      </w:rPr>
    </w:lvl>
  </w:abstractNum>
  <w:abstractNum w:abstractNumId="16">
    <w:nsid w:val="49FE59C3"/>
    <w:multiLevelType w:val="hybridMultilevel"/>
    <w:tmpl w:val="C96EF56C"/>
    <w:lvl w:ilvl="0" w:tplc="D6DAFA5C">
      <w:start w:val="1"/>
      <w:numFmt w:val="bullet"/>
      <w:lvlText w:val="•"/>
      <w:lvlJc w:val="left"/>
      <w:pPr>
        <w:tabs>
          <w:tab w:val="num" w:pos="720"/>
        </w:tabs>
        <w:ind w:left="720" w:hanging="360"/>
      </w:pPr>
      <w:rPr>
        <w:rFonts w:ascii="Times New Roman" w:hAnsi="Times New Roman" w:hint="default"/>
      </w:rPr>
    </w:lvl>
    <w:lvl w:ilvl="1" w:tplc="3D5667A8" w:tentative="1">
      <w:start w:val="1"/>
      <w:numFmt w:val="bullet"/>
      <w:lvlText w:val="•"/>
      <w:lvlJc w:val="left"/>
      <w:pPr>
        <w:tabs>
          <w:tab w:val="num" w:pos="1440"/>
        </w:tabs>
        <w:ind w:left="1440" w:hanging="360"/>
      </w:pPr>
      <w:rPr>
        <w:rFonts w:ascii="Times New Roman" w:hAnsi="Times New Roman" w:hint="default"/>
      </w:rPr>
    </w:lvl>
    <w:lvl w:ilvl="2" w:tplc="1DCA4EB0" w:tentative="1">
      <w:start w:val="1"/>
      <w:numFmt w:val="bullet"/>
      <w:lvlText w:val="•"/>
      <w:lvlJc w:val="left"/>
      <w:pPr>
        <w:tabs>
          <w:tab w:val="num" w:pos="2160"/>
        </w:tabs>
        <w:ind w:left="2160" w:hanging="360"/>
      </w:pPr>
      <w:rPr>
        <w:rFonts w:ascii="Times New Roman" w:hAnsi="Times New Roman" w:hint="default"/>
      </w:rPr>
    </w:lvl>
    <w:lvl w:ilvl="3" w:tplc="2AF8EA96" w:tentative="1">
      <w:start w:val="1"/>
      <w:numFmt w:val="bullet"/>
      <w:lvlText w:val="•"/>
      <w:lvlJc w:val="left"/>
      <w:pPr>
        <w:tabs>
          <w:tab w:val="num" w:pos="2880"/>
        </w:tabs>
        <w:ind w:left="2880" w:hanging="360"/>
      </w:pPr>
      <w:rPr>
        <w:rFonts w:ascii="Times New Roman" w:hAnsi="Times New Roman" w:hint="default"/>
      </w:rPr>
    </w:lvl>
    <w:lvl w:ilvl="4" w:tplc="FCC6FD98" w:tentative="1">
      <w:start w:val="1"/>
      <w:numFmt w:val="bullet"/>
      <w:lvlText w:val="•"/>
      <w:lvlJc w:val="left"/>
      <w:pPr>
        <w:tabs>
          <w:tab w:val="num" w:pos="3600"/>
        </w:tabs>
        <w:ind w:left="3600" w:hanging="360"/>
      </w:pPr>
      <w:rPr>
        <w:rFonts w:ascii="Times New Roman" w:hAnsi="Times New Roman" w:hint="default"/>
      </w:rPr>
    </w:lvl>
    <w:lvl w:ilvl="5" w:tplc="6774685E" w:tentative="1">
      <w:start w:val="1"/>
      <w:numFmt w:val="bullet"/>
      <w:lvlText w:val="•"/>
      <w:lvlJc w:val="left"/>
      <w:pPr>
        <w:tabs>
          <w:tab w:val="num" w:pos="4320"/>
        </w:tabs>
        <w:ind w:left="4320" w:hanging="360"/>
      </w:pPr>
      <w:rPr>
        <w:rFonts w:ascii="Times New Roman" w:hAnsi="Times New Roman" w:hint="default"/>
      </w:rPr>
    </w:lvl>
    <w:lvl w:ilvl="6" w:tplc="7CB4AD00" w:tentative="1">
      <w:start w:val="1"/>
      <w:numFmt w:val="bullet"/>
      <w:lvlText w:val="•"/>
      <w:lvlJc w:val="left"/>
      <w:pPr>
        <w:tabs>
          <w:tab w:val="num" w:pos="5040"/>
        </w:tabs>
        <w:ind w:left="5040" w:hanging="360"/>
      </w:pPr>
      <w:rPr>
        <w:rFonts w:ascii="Times New Roman" w:hAnsi="Times New Roman" w:hint="default"/>
      </w:rPr>
    </w:lvl>
    <w:lvl w:ilvl="7" w:tplc="8BEA1822" w:tentative="1">
      <w:start w:val="1"/>
      <w:numFmt w:val="bullet"/>
      <w:lvlText w:val="•"/>
      <w:lvlJc w:val="left"/>
      <w:pPr>
        <w:tabs>
          <w:tab w:val="num" w:pos="5760"/>
        </w:tabs>
        <w:ind w:left="5760" w:hanging="360"/>
      </w:pPr>
      <w:rPr>
        <w:rFonts w:ascii="Times New Roman" w:hAnsi="Times New Roman" w:hint="default"/>
      </w:rPr>
    </w:lvl>
    <w:lvl w:ilvl="8" w:tplc="11506B3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CE9401F"/>
    <w:multiLevelType w:val="hybridMultilevel"/>
    <w:tmpl w:val="141A6ABC"/>
    <w:lvl w:ilvl="0" w:tplc="2E6ADDC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CF1C18"/>
    <w:multiLevelType w:val="hybridMultilevel"/>
    <w:tmpl w:val="DDEAE43C"/>
    <w:lvl w:ilvl="0" w:tplc="6BAC1344">
      <w:start w:val="1"/>
      <w:numFmt w:val="bullet"/>
      <w:lvlText w:val=""/>
      <w:lvlJc w:val="left"/>
      <w:pPr>
        <w:tabs>
          <w:tab w:val="num" w:pos="720"/>
        </w:tabs>
        <w:ind w:left="720" w:hanging="360"/>
      </w:pPr>
      <w:rPr>
        <w:rFonts w:ascii="Wingdings" w:hAnsi="Wingdings" w:hint="default"/>
      </w:rPr>
    </w:lvl>
    <w:lvl w:ilvl="1" w:tplc="818AFD18">
      <w:start w:val="1"/>
      <w:numFmt w:val="bullet"/>
      <w:lvlText w:val=""/>
      <w:lvlJc w:val="left"/>
      <w:pPr>
        <w:tabs>
          <w:tab w:val="num" w:pos="1440"/>
        </w:tabs>
        <w:ind w:left="1440" w:hanging="360"/>
      </w:pPr>
      <w:rPr>
        <w:rFonts w:ascii="Wingdings" w:hAnsi="Wingdings" w:hint="default"/>
      </w:rPr>
    </w:lvl>
    <w:lvl w:ilvl="2" w:tplc="45C2AD7C" w:tentative="1">
      <w:start w:val="1"/>
      <w:numFmt w:val="bullet"/>
      <w:lvlText w:val=""/>
      <w:lvlJc w:val="left"/>
      <w:pPr>
        <w:tabs>
          <w:tab w:val="num" w:pos="2160"/>
        </w:tabs>
        <w:ind w:left="2160" w:hanging="360"/>
      </w:pPr>
      <w:rPr>
        <w:rFonts w:ascii="Wingdings" w:hAnsi="Wingdings" w:hint="default"/>
      </w:rPr>
    </w:lvl>
    <w:lvl w:ilvl="3" w:tplc="DB2E04BC" w:tentative="1">
      <w:start w:val="1"/>
      <w:numFmt w:val="bullet"/>
      <w:lvlText w:val=""/>
      <w:lvlJc w:val="left"/>
      <w:pPr>
        <w:tabs>
          <w:tab w:val="num" w:pos="2880"/>
        </w:tabs>
        <w:ind w:left="2880" w:hanging="360"/>
      </w:pPr>
      <w:rPr>
        <w:rFonts w:ascii="Wingdings" w:hAnsi="Wingdings" w:hint="default"/>
      </w:rPr>
    </w:lvl>
    <w:lvl w:ilvl="4" w:tplc="EBFCDE70" w:tentative="1">
      <w:start w:val="1"/>
      <w:numFmt w:val="bullet"/>
      <w:lvlText w:val=""/>
      <w:lvlJc w:val="left"/>
      <w:pPr>
        <w:tabs>
          <w:tab w:val="num" w:pos="3600"/>
        </w:tabs>
        <w:ind w:left="3600" w:hanging="360"/>
      </w:pPr>
      <w:rPr>
        <w:rFonts w:ascii="Wingdings" w:hAnsi="Wingdings" w:hint="default"/>
      </w:rPr>
    </w:lvl>
    <w:lvl w:ilvl="5" w:tplc="EBFCBCE2" w:tentative="1">
      <w:start w:val="1"/>
      <w:numFmt w:val="bullet"/>
      <w:lvlText w:val=""/>
      <w:lvlJc w:val="left"/>
      <w:pPr>
        <w:tabs>
          <w:tab w:val="num" w:pos="4320"/>
        </w:tabs>
        <w:ind w:left="4320" w:hanging="360"/>
      </w:pPr>
      <w:rPr>
        <w:rFonts w:ascii="Wingdings" w:hAnsi="Wingdings" w:hint="default"/>
      </w:rPr>
    </w:lvl>
    <w:lvl w:ilvl="6" w:tplc="A266D436" w:tentative="1">
      <w:start w:val="1"/>
      <w:numFmt w:val="bullet"/>
      <w:lvlText w:val=""/>
      <w:lvlJc w:val="left"/>
      <w:pPr>
        <w:tabs>
          <w:tab w:val="num" w:pos="5040"/>
        </w:tabs>
        <w:ind w:left="5040" w:hanging="360"/>
      </w:pPr>
      <w:rPr>
        <w:rFonts w:ascii="Wingdings" w:hAnsi="Wingdings" w:hint="default"/>
      </w:rPr>
    </w:lvl>
    <w:lvl w:ilvl="7" w:tplc="9D62327A" w:tentative="1">
      <w:start w:val="1"/>
      <w:numFmt w:val="bullet"/>
      <w:lvlText w:val=""/>
      <w:lvlJc w:val="left"/>
      <w:pPr>
        <w:tabs>
          <w:tab w:val="num" w:pos="5760"/>
        </w:tabs>
        <w:ind w:left="5760" w:hanging="360"/>
      </w:pPr>
      <w:rPr>
        <w:rFonts w:ascii="Wingdings" w:hAnsi="Wingdings" w:hint="default"/>
      </w:rPr>
    </w:lvl>
    <w:lvl w:ilvl="8" w:tplc="FAC630C2" w:tentative="1">
      <w:start w:val="1"/>
      <w:numFmt w:val="bullet"/>
      <w:lvlText w:val=""/>
      <w:lvlJc w:val="left"/>
      <w:pPr>
        <w:tabs>
          <w:tab w:val="num" w:pos="6480"/>
        </w:tabs>
        <w:ind w:left="6480" w:hanging="360"/>
      </w:pPr>
      <w:rPr>
        <w:rFonts w:ascii="Wingdings" w:hAnsi="Wingdings" w:hint="default"/>
      </w:rPr>
    </w:lvl>
  </w:abstractNum>
  <w:abstractNum w:abstractNumId="19">
    <w:nsid w:val="5F5A5AE0"/>
    <w:multiLevelType w:val="hybridMultilevel"/>
    <w:tmpl w:val="0A0CE49A"/>
    <w:lvl w:ilvl="0" w:tplc="86643DF2">
      <w:start w:val="1"/>
      <w:numFmt w:val="bullet"/>
      <w:lvlText w:val="•"/>
      <w:lvlJc w:val="left"/>
      <w:pPr>
        <w:tabs>
          <w:tab w:val="num" w:pos="720"/>
        </w:tabs>
        <w:ind w:left="720" w:hanging="360"/>
      </w:pPr>
      <w:rPr>
        <w:rFonts w:ascii="Arial" w:hAnsi="Arial" w:hint="default"/>
      </w:rPr>
    </w:lvl>
    <w:lvl w:ilvl="1" w:tplc="D2441B20" w:tentative="1">
      <w:start w:val="1"/>
      <w:numFmt w:val="bullet"/>
      <w:lvlText w:val="•"/>
      <w:lvlJc w:val="left"/>
      <w:pPr>
        <w:tabs>
          <w:tab w:val="num" w:pos="1440"/>
        </w:tabs>
        <w:ind w:left="1440" w:hanging="360"/>
      </w:pPr>
      <w:rPr>
        <w:rFonts w:ascii="Arial" w:hAnsi="Arial" w:hint="default"/>
      </w:rPr>
    </w:lvl>
    <w:lvl w:ilvl="2" w:tplc="1F789CAE" w:tentative="1">
      <w:start w:val="1"/>
      <w:numFmt w:val="bullet"/>
      <w:lvlText w:val="•"/>
      <w:lvlJc w:val="left"/>
      <w:pPr>
        <w:tabs>
          <w:tab w:val="num" w:pos="2160"/>
        </w:tabs>
        <w:ind w:left="2160" w:hanging="360"/>
      </w:pPr>
      <w:rPr>
        <w:rFonts w:ascii="Arial" w:hAnsi="Arial" w:hint="default"/>
      </w:rPr>
    </w:lvl>
    <w:lvl w:ilvl="3" w:tplc="314489BA" w:tentative="1">
      <w:start w:val="1"/>
      <w:numFmt w:val="bullet"/>
      <w:lvlText w:val="•"/>
      <w:lvlJc w:val="left"/>
      <w:pPr>
        <w:tabs>
          <w:tab w:val="num" w:pos="2880"/>
        </w:tabs>
        <w:ind w:left="2880" w:hanging="360"/>
      </w:pPr>
      <w:rPr>
        <w:rFonts w:ascii="Arial" w:hAnsi="Arial" w:hint="default"/>
      </w:rPr>
    </w:lvl>
    <w:lvl w:ilvl="4" w:tplc="4F0AA228" w:tentative="1">
      <w:start w:val="1"/>
      <w:numFmt w:val="bullet"/>
      <w:lvlText w:val="•"/>
      <w:lvlJc w:val="left"/>
      <w:pPr>
        <w:tabs>
          <w:tab w:val="num" w:pos="3600"/>
        </w:tabs>
        <w:ind w:left="3600" w:hanging="360"/>
      </w:pPr>
      <w:rPr>
        <w:rFonts w:ascii="Arial" w:hAnsi="Arial" w:hint="default"/>
      </w:rPr>
    </w:lvl>
    <w:lvl w:ilvl="5" w:tplc="81620CCE" w:tentative="1">
      <w:start w:val="1"/>
      <w:numFmt w:val="bullet"/>
      <w:lvlText w:val="•"/>
      <w:lvlJc w:val="left"/>
      <w:pPr>
        <w:tabs>
          <w:tab w:val="num" w:pos="4320"/>
        </w:tabs>
        <w:ind w:left="4320" w:hanging="360"/>
      </w:pPr>
      <w:rPr>
        <w:rFonts w:ascii="Arial" w:hAnsi="Arial" w:hint="default"/>
      </w:rPr>
    </w:lvl>
    <w:lvl w:ilvl="6" w:tplc="7C927294" w:tentative="1">
      <w:start w:val="1"/>
      <w:numFmt w:val="bullet"/>
      <w:lvlText w:val="•"/>
      <w:lvlJc w:val="left"/>
      <w:pPr>
        <w:tabs>
          <w:tab w:val="num" w:pos="5040"/>
        </w:tabs>
        <w:ind w:left="5040" w:hanging="360"/>
      </w:pPr>
      <w:rPr>
        <w:rFonts w:ascii="Arial" w:hAnsi="Arial" w:hint="default"/>
      </w:rPr>
    </w:lvl>
    <w:lvl w:ilvl="7" w:tplc="29728762" w:tentative="1">
      <w:start w:val="1"/>
      <w:numFmt w:val="bullet"/>
      <w:lvlText w:val="•"/>
      <w:lvlJc w:val="left"/>
      <w:pPr>
        <w:tabs>
          <w:tab w:val="num" w:pos="5760"/>
        </w:tabs>
        <w:ind w:left="5760" w:hanging="360"/>
      </w:pPr>
      <w:rPr>
        <w:rFonts w:ascii="Arial" w:hAnsi="Arial" w:hint="default"/>
      </w:rPr>
    </w:lvl>
    <w:lvl w:ilvl="8" w:tplc="23D867FE" w:tentative="1">
      <w:start w:val="1"/>
      <w:numFmt w:val="bullet"/>
      <w:lvlText w:val="•"/>
      <w:lvlJc w:val="left"/>
      <w:pPr>
        <w:tabs>
          <w:tab w:val="num" w:pos="6480"/>
        </w:tabs>
        <w:ind w:left="6480" w:hanging="360"/>
      </w:pPr>
      <w:rPr>
        <w:rFonts w:ascii="Arial" w:hAnsi="Arial" w:hint="default"/>
      </w:rPr>
    </w:lvl>
  </w:abstractNum>
  <w:abstractNum w:abstractNumId="20">
    <w:nsid w:val="61E37E03"/>
    <w:multiLevelType w:val="hybridMultilevel"/>
    <w:tmpl w:val="69E269A2"/>
    <w:lvl w:ilvl="0" w:tplc="EB9A35FE">
      <w:start w:val="1"/>
      <w:numFmt w:val="decimal"/>
      <w:lvlText w:val="%1."/>
      <w:lvlJc w:val="left"/>
      <w:pPr>
        <w:tabs>
          <w:tab w:val="num" w:pos="360"/>
        </w:tabs>
        <w:ind w:left="360" w:hanging="360"/>
      </w:pPr>
    </w:lvl>
    <w:lvl w:ilvl="1" w:tplc="DF02FF74" w:tentative="1">
      <w:start w:val="1"/>
      <w:numFmt w:val="decimal"/>
      <w:lvlText w:val="%2."/>
      <w:lvlJc w:val="left"/>
      <w:pPr>
        <w:tabs>
          <w:tab w:val="num" w:pos="1080"/>
        </w:tabs>
        <w:ind w:left="1080" w:hanging="360"/>
      </w:pPr>
    </w:lvl>
    <w:lvl w:ilvl="2" w:tplc="CC06934A" w:tentative="1">
      <w:start w:val="1"/>
      <w:numFmt w:val="decimal"/>
      <w:lvlText w:val="%3."/>
      <w:lvlJc w:val="left"/>
      <w:pPr>
        <w:tabs>
          <w:tab w:val="num" w:pos="1800"/>
        </w:tabs>
        <w:ind w:left="1800" w:hanging="360"/>
      </w:pPr>
    </w:lvl>
    <w:lvl w:ilvl="3" w:tplc="20F829C2" w:tentative="1">
      <w:start w:val="1"/>
      <w:numFmt w:val="decimal"/>
      <w:lvlText w:val="%4."/>
      <w:lvlJc w:val="left"/>
      <w:pPr>
        <w:tabs>
          <w:tab w:val="num" w:pos="2520"/>
        </w:tabs>
        <w:ind w:left="2520" w:hanging="360"/>
      </w:pPr>
    </w:lvl>
    <w:lvl w:ilvl="4" w:tplc="3A7CF26C" w:tentative="1">
      <w:start w:val="1"/>
      <w:numFmt w:val="decimal"/>
      <w:lvlText w:val="%5."/>
      <w:lvlJc w:val="left"/>
      <w:pPr>
        <w:tabs>
          <w:tab w:val="num" w:pos="3240"/>
        </w:tabs>
        <w:ind w:left="3240" w:hanging="360"/>
      </w:pPr>
    </w:lvl>
    <w:lvl w:ilvl="5" w:tplc="CF101074" w:tentative="1">
      <w:start w:val="1"/>
      <w:numFmt w:val="decimal"/>
      <w:lvlText w:val="%6."/>
      <w:lvlJc w:val="left"/>
      <w:pPr>
        <w:tabs>
          <w:tab w:val="num" w:pos="3960"/>
        </w:tabs>
        <w:ind w:left="3960" w:hanging="360"/>
      </w:pPr>
    </w:lvl>
    <w:lvl w:ilvl="6" w:tplc="8C0AD94A" w:tentative="1">
      <w:start w:val="1"/>
      <w:numFmt w:val="decimal"/>
      <w:lvlText w:val="%7."/>
      <w:lvlJc w:val="left"/>
      <w:pPr>
        <w:tabs>
          <w:tab w:val="num" w:pos="4680"/>
        </w:tabs>
        <w:ind w:left="4680" w:hanging="360"/>
      </w:pPr>
    </w:lvl>
    <w:lvl w:ilvl="7" w:tplc="9E14CF8A" w:tentative="1">
      <w:start w:val="1"/>
      <w:numFmt w:val="decimal"/>
      <w:lvlText w:val="%8."/>
      <w:lvlJc w:val="left"/>
      <w:pPr>
        <w:tabs>
          <w:tab w:val="num" w:pos="5400"/>
        </w:tabs>
        <w:ind w:left="5400" w:hanging="360"/>
      </w:pPr>
    </w:lvl>
    <w:lvl w:ilvl="8" w:tplc="92540842" w:tentative="1">
      <w:start w:val="1"/>
      <w:numFmt w:val="decimal"/>
      <w:lvlText w:val="%9."/>
      <w:lvlJc w:val="left"/>
      <w:pPr>
        <w:tabs>
          <w:tab w:val="num" w:pos="6120"/>
        </w:tabs>
        <w:ind w:left="6120" w:hanging="360"/>
      </w:pPr>
    </w:lvl>
  </w:abstractNum>
  <w:abstractNum w:abstractNumId="21">
    <w:nsid w:val="711F7758"/>
    <w:multiLevelType w:val="hybridMultilevel"/>
    <w:tmpl w:val="8A98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0F310D"/>
    <w:multiLevelType w:val="hybridMultilevel"/>
    <w:tmpl w:val="51C0A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162593"/>
    <w:multiLevelType w:val="hybridMultilevel"/>
    <w:tmpl w:val="7D60478A"/>
    <w:lvl w:ilvl="0" w:tplc="0DBC363A">
      <w:start w:val="1"/>
      <w:numFmt w:val="bullet"/>
      <w:lvlText w:val="•"/>
      <w:lvlJc w:val="left"/>
      <w:pPr>
        <w:tabs>
          <w:tab w:val="num" w:pos="720"/>
        </w:tabs>
        <w:ind w:left="720" w:hanging="360"/>
      </w:pPr>
      <w:rPr>
        <w:rFonts w:ascii="Arial" w:hAnsi="Arial" w:hint="default"/>
      </w:rPr>
    </w:lvl>
    <w:lvl w:ilvl="1" w:tplc="B4BAE13E">
      <w:start w:val="1"/>
      <w:numFmt w:val="bullet"/>
      <w:lvlText w:val="•"/>
      <w:lvlJc w:val="left"/>
      <w:pPr>
        <w:tabs>
          <w:tab w:val="num" w:pos="1440"/>
        </w:tabs>
        <w:ind w:left="1440" w:hanging="360"/>
      </w:pPr>
      <w:rPr>
        <w:rFonts w:ascii="Arial" w:hAnsi="Arial" w:hint="default"/>
      </w:rPr>
    </w:lvl>
    <w:lvl w:ilvl="2" w:tplc="95CE6E44">
      <w:numFmt w:val="bullet"/>
      <w:lvlText w:val="•"/>
      <w:lvlJc w:val="left"/>
      <w:pPr>
        <w:tabs>
          <w:tab w:val="num" w:pos="2160"/>
        </w:tabs>
        <w:ind w:left="2160" w:hanging="360"/>
      </w:pPr>
      <w:rPr>
        <w:rFonts w:ascii="Arial" w:hAnsi="Arial" w:hint="default"/>
      </w:rPr>
    </w:lvl>
    <w:lvl w:ilvl="3" w:tplc="992A691E" w:tentative="1">
      <w:start w:val="1"/>
      <w:numFmt w:val="bullet"/>
      <w:lvlText w:val="•"/>
      <w:lvlJc w:val="left"/>
      <w:pPr>
        <w:tabs>
          <w:tab w:val="num" w:pos="2880"/>
        </w:tabs>
        <w:ind w:left="2880" w:hanging="360"/>
      </w:pPr>
      <w:rPr>
        <w:rFonts w:ascii="Arial" w:hAnsi="Arial" w:hint="default"/>
      </w:rPr>
    </w:lvl>
    <w:lvl w:ilvl="4" w:tplc="06FC31D0" w:tentative="1">
      <w:start w:val="1"/>
      <w:numFmt w:val="bullet"/>
      <w:lvlText w:val="•"/>
      <w:lvlJc w:val="left"/>
      <w:pPr>
        <w:tabs>
          <w:tab w:val="num" w:pos="3600"/>
        </w:tabs>
        <w:ind w:left="3600" w:hanging="360"/>
      </w:pPr>
      <w:rPr>
        <w:rFonts w:ascii="Arial" w:hAnsi="Arial" w:hint="default"/>
      </w:rPr>
    </w:lvl>
    <w:lvl w:ilvl="5" w:tplc="668685C2" w:tentative="1">
      <w:start w:val="1"/>
      <w:numFmt w:val="bullet"/>
      <w:lvlText w:val="•"/>
      <w:lvlJc w:val="left"/>
      <w:pPr>
        <w:tabs>
          <w:tab w:val="num" w:pos="4320"/>
        </w:tabs>
        <w:ind w:left="4320" w:hanging="360"/>
      </w:pPr>
      <w:rPr>
        <w:rFonts w:ascii="Arial" w:hAnsi="Arial" w:hint="default"/>
      </w:rPr>
    </w:lvl>
    <w:lvl w:ilvl="6" w:tplc="EEB08A18" w:tentative="1">
      <w:start w:val="1"/>
      <w:numFmt w:val="bullet"/>
      <w:lvlText w:val="•"/>
      <w:lvlJc w:val="left"/>
      <w:pPr>
        <w:tabs>
          <w:tab w:val="num" w:pos="5040"/>
        </w:tabs>
        <w:ind w:left="5040" w:hanging="360"/>
      </w:pPr>
      <w:rPr>
        <w:rFonts w:ascii="Arial" w:hAnsi="Arial" w:hint="default"/>
      </w:rPr>
    </w:lvl>
    <w:lvl w:ilvl="7" w:tplc="3692D0BA" w:tentative="1">
      <w:start w:val="1"/>
      <w:numFmt w:val="bullet"/>
      <w:lvlText w:val="•"/>
      <w:lvlJc w:val="left"/>
      <w:pPr>
        <w:tabs>
          <w:tab w:val="num" w:pos="5760"/>
        </w:tabs>
        <w:ind w:left="5760" w:hanging="360"/>
      </w:pPr>
      <w:rPr>
        <w:rFonts w:ascii="Arial" w:hAnsi="Arial" w:hint="default"/>
      </w:rPr>
    </w:lvl>
    <w:lvl w:ilvl="8" w:tplc="F6AE27E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7"/>
  </w:num>
  <w:num w:numId="7">
    <w:abstractNumId w:val="0"/>
  </w:num>
  <w:num w:numId="8">
    <w:abstractNumId w:val="19"/>
  </w:num>
  <w:num w:numId="9">
    <w:abstractNumId w:val="11"/>
  </w:num>
  <w:num w:numId="10">
    <w:abstractNumId w:val="10"/>
  </w:num>
  <w:num w:numId="11">
    <w:abstractNumId w:val="23"/>
  </w:num>
  <w:num w:numId="12">
    <w:abstractNumId w:val="13"/>
  </w:num>
  <w:num w:numId="13">
    <w:abstractNumId w:val="20"/>
  </w:num>
  <w:num w:numId="14">
    <w:abstractNumId w:val="14"/>
  </w:num>
  <w:num w:numId="15">
    <w:abstractNumId w:val="17"/>
  </w:num>
  <w:num w:numId="16">
    <w:abstractNumId w:val="3"/>
  </w:num>
  <w:num w:numId="17">
    <w:abstractNumId w:val="22"/>
  </w:num>
  <w:num w:numId="18">
    <w:abstractNumId w:val="21"/>
  </w:num>
  <w:num w:numId="19">
    <w:abstractNumId w:val="15"/>
  </w:num>
  <w:num w:numId="20">
    <w:abstractNumId w:val="12"/>
  </w:num>
  <w:num w:numId="21">
    <w:abstractNumId w:val="16"/>
  </w:num>
  <w:num w:numId="22">
    <w:abstractNumId w:val="4"/>
  </w:num>
  <w:num w:numId="23">
    <w:abstractNumId w:val="2"/>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56"/>
    <w:rsid w:val="00004C4E"/>
    <w:rsid w:val="00011ED5"/>
    <w:rsid w:val="00012401"/>
    <w:rsid w:val="00015987"/>
    <w:rsid w:val="00016593"/>
    <w:rsid w:val="00016631"/>
    <w:rsid w:val="00044E5E"/>
    <w:rsid w:val="00045316"/>
    <w:rsid w:val="00050154"/>
    <w:rsid w:val="000557F2"/>
    <w:rsid w:val="00056EF7"/>
    <w:rsid w:val="00064E9F"/>
    <w:rsid w:val="00066016"/>
    <w:rsid w:val="00066A27"/>
    <w:rsid w:val="0007192E"/>
    <w:rsid w:val="0007200F"/>
    <w:rsid w:val="000746D4"/>
    <w:rsid w:val="00074700"/>
    <w:rsid w:val="000747A8"/>
    <w:rsid w:val="000755B6"/>
    <w:rsid w:val="00080169"/>
    <w:rsid w:val="0008120F"/>
    <w:rsid w:val="00082549"/>
    <w:rsid w:val="00083BE1"/>
    <w:rsid w:val="000914EC"/>
    <w:rsid w:val="0009780A"/>
    <w:rsid w:val="000A39C1"/>
    <w:rsid w:val="000B7341"/>
    <w:rsid w:val="000C6A60"/>
    <w:rsid w:val="000D4950"/>
    <w:rsid w:val="000D7C9D"/>
    <w:rsid w:val="000E1A18"/>
    <w:rsid w:val="000E5B3E"/>
    <w:rsid w:val="000F5B92"/>
    <w:rsid w:val="000F5CBC"/>
    <w:rsid w:val="000F5F73"/>
    <w:rsid w:val="000F68F9"/>
    <w:rsid w:val="000F741B"/>
    <w:rsid w:val="00103D13"/>
    <w:rsid w:val="001060AE"/>
    <w:rsid w:val="001107CD"/>
    <w:rsid w:val="001110F9"/>
    <w:rsid w:val="00114AC3"/>
    <w:rsid w:val="001155EE"/>
    <w:rsid w:val="00122E4F"/>
    <w:rsid w:val="001231C3"/>
    <w:rsid w:val="00124B62"/>
    <w:rsid w:val="00124F91"/>
    <w:rsid w:val="0013044F"/>
    <w:rsid w:val="0013305A"/>
    <w:rsid w:val="001413C3"/>
    <w:rsid w:val="001420AA"/>
    <w:rsid w:val="00145648"/>
    <w:rsid w:val="001470EB"/>
    <w:rsid w:val="001629D1"/>
    <w:rsid w:val="00163B55"/>
    <w:rsid w:val="0016483C"/>
    <w:rsid w:val="00167A77"/>
    <w:rsid w:val="0017595B"/>
    <w:rsid w:val="0017699F"/>
    <w:rsid w:val="001831A9"/>
    <w:rsid w:val="001837FA"/>
    <w:rsid w:val="00185C05"/>
    <w:rsid w:val="00196145"/>
    <w:rsid w:val="00196504"/>
    <w:rsid w:val="001B6E02"/>
    <w:rsid w:val="001C2564"/>
    <w:rsid w:val="001C3049"/>
    <w:rsid w:val="001C33EB"/>
    <w:rsid w:val="001C663D"/>
    <w:rsid w:val="001D4555"/>
    <w:rsid w:val="001D5F06"/>
    <w:rsid w:val="001E0039"/>
    <w:rsid w:val="001E4B59"/>
    <w:rsid w:val="00202D39"/>
    <w:rsid w:val="002074BA"/>
    <w:rsid w:val="0021209C"/>
    <w:rsid w:val="00213219"/>
    <w:rsid w:val="0021659A"/>
    <w:rsid w:val="00224AF6"/>
    <w:rsid w:val="00226D61"/>
    <w:rsid w:val="00233FCF"/>
    <w:rsid w:val="00237B4A"/>
    <w:rsid w:val="00242AC9"/>
    <w:rsid w:val="002440BA"/>
    <w:rsid w:val="00244C67"/>
    <w:rsid w:val="00245377"/>
    <w:rsid w:val="00247B25"/>
    <w:rsid w:val="00247FE4"/>
    <w:rsid w:val="00250FAD"/>
    <w:rsid w:val="0025306A"/>
    <w:rsid w:val="002630B3"/>
    <w:rsid w:val="0026396C"/>
    <w:rsid w:val="00276613"/>
    <w:rsid w:val="002768E3"/>
    <w:rsid w:val="002817D3"/>
    <w:rsid w:val="00295109"/>
    <w:rsid w:val="002965A1"/>
    <w:rsid w:val="002A5DBB"/>
    <w:rsid w:val="002D4E26"/>
    <w:rsid w:val="002D5B0E"/>
    <w:rsid w:val="002F5B3A"/>
    <w:rsid w:val="00312475"/>
    <w:rsid w:val="003149F5"/>
    <w:rsid w:val="00314F26"/>
    <w:rsid w:val="00325E1E"/>
    <w:rsid w:val="00326F55"/>
    <w:rsid w:val="00327537"/>
    <w:rsid w:val="00330C6F"/>
    <w:rsid w:val="0033127B"/>
    <w:rsid w:val="00333947"/>
    <w:rsid w:val="0033627F"/>
    <w:rsid w:val="00342858"/>
    <w:rsid w:val="003450B1"/>
    <w:rsid w:val="003522D9"/>
    <w:rsid w:val="003544F4"/>
    <w:rsid w:val="00365863"/>
    <w:rsid w:val="00365A11"/>
    <w:rsid w:val="003731DC"/>
    <w:rsid w:val="00374412"/>
    <w:rsid w:val="003A12E8"/>
    <w:rsid w:val="003A26F6"/>
    <w:rsid w:val="003A2BCF"/>
    <w:rsid w:val="003A6956"/>
    <w:rsid w:val="003B29B0"/>
    <w:rsid w:val="003B30D3"/>
    <w:rsid w:val="003B4B21"/>
    <w:rsid w:val="003B58D5"/>
    <w:rsid w:val="003C2283"/>
    <w:rsid w:val="003C29F9"/>
    <w:rsid w:val="003C75AB"/>
    <w:rsid w:val="003D575B"/>
    <w:rsid w:val="003E70F2"/>
    <w:rsid w:val="003F6D84"/>
    <w:rsid w:val="00403136"/>
    <w:rsid w:val="00411469"/>
    <w:rsid w:val="00411A4C"/>
    <w:rsid w:val="004126ED"/>
    <w:rsid w:val="0041323E"/>
    <w:rsid w:val="00423DE2"/>
    <w:rsid w:val="00430357"/>
    <w:rsid w:val="004312D7"/>
    <w:rsid w:val="004317F2"/>
    <w:rsid w:val="00433EAA"/>
    <w:rsid w:val="0045008C"/>
    <w:rsid w:val="004521E2"/>
    <w:rsid w:val="00453C56"/>
    <w:rsid w:val="004550EA"/>
    <w:rsid w:val="0046249E"/>
    <w:rsid w:val="004636CC"/>
    <w:rsid w:val="00465801"/>
    <w:rsid w:val="004659AB"/>
    <w:rsid w:val="004731EF"/>
    <w:rsid w:val="00474662"/>
    <w:rsid w:val="004851D8"/>
    <w:rsid w:val="00485C21"/>
    <w:rsid w:val="004A101A"/>
    <w:rsid w:val="004A35C2"/>
    <w:rsid w:val="004B038A"/>
    <w:rsid w:val="004B093D"/>
    <w:rsid w:val="004B2FD4"/>
    <w:rsid w:val="004C4BBD"/>
    <w:rsid w:val="004D169B"/>
    <w:rsid w:val="004D1721"/>
    <w:rsid w:val="004D6E77"/>
    <w:rsid w:val="004E3ADC"/>
    <w:rsid w:val="004E583F"/>
    <w:rsid w:val="004E7D35"/>
    <w:rsid w:val="004F3DB5"/>
    <w:rsid w:val="005101C2"/>
    <w:rsid w:val="005111EC"/>
    <w:rsid w:val="00520D1F"/>
    <w:rsid w:val="0052186B"/>
    <w:rsid w:val="00525064"/>
    <w:rsid w:val="005309CB"/>
    <w:rsid w:val="00532429"/>
    <w:rsid w:val="00533A6D"/>
    <w:rsid w:val="00540149"/>
    <w:rsid w:val="005413C2"/>
    <w:rsid w:val="00541A6A"/>
    <w:rsid w:val="00551A52"/>
    <w:rsid w:val="00553904"/>
    <w:rsid w:val="00564BE5"/>
    <w:rsid w:val="0057074E"/>
    <w:rsid w:val="005817E8"/>
    <w:rsid w:val="00582A04"/>
    <w:rsid w:val="005A1757"/>
    <w:rsid w:val="005A27CE"/>
    <w:rsid w:val="005A2F09"/>
    <w:rsid w:val="005A42CE"/>
    <w:rsid w:val="005B1E3F"/>
    <w:rsid w:val="005B2494"/>
    <w:rsid w:val="005B54D0"/>
    <w:rsid w:val="005B5F10"/>
    <w:rsid w:val="005B6681"/>
    <w:rsid w:val="005C6066"/>
    <w:rsid w:val="005C61D6"/>
    <w:rsid w:val="005D1DDB"/>
    <w:rsid w:val="005D1E27"/>
    <w:rsid w:val="005D26A2"/>
    <w:rsid w:val="005D4BAD"/>
    <w:rsid w:val="005D51DE"/>
    <w:rsid w:val="005D61C2"/>
    <w:rsid w:val="005E161C"/>
    <w:rsid w:val="005E505C"/>
    <w:rsid w:val="005F7FD5"/>
    <w:rsid w:val="00605260"/>
    <w:rsid w:val="0060646F"/>
    <w:rsid w:val="00610F85"/>
    <w:rsid w:val="00615221"/>
    <w:rsid w:val="006156E2"/>
    <w:rsid w:val="0061576B"/>
    <w:rsid w:val="00620E56"/>
    <w:rsid w:val="00620F72"/>
    <w:rsid w:val="006254A5"/>
    <w:rsid w:val="006336BB"/>
    <w:rsid w:val="00634D86"/>
    <w:rsid w:val="00635731"/>
    <w:rsid w:val="006459E2"/>
    <w:rsid w:val="00646440"/>
    <w:rsid w:val="0066109E"/>
    <w:rsid w:val="00670C9B"/>
    <w:rsid w:val="00671160"/>
    <w:rsid w:val="00672725"/>
    <w:rsid w:val="00673645"/>
    <w:rsid w:val="00673D46"/>
    <w:rsid w:val="00674017"/>
    <w:rsid w:val="006813E2"/>
    <w:rsid w:val="006814E0"/>
    <w:rsid w:val="006836C0"/>
    <w:rsid w:val="00684C01"/>
    <w:rsid w:val="00690151"/>
    <w:rsid w:val="00690D0A"/>
    <w:rsid w:val="006931CC"/>
    <w:rsid w:val="006960FD"/>
    <w:rsid w:val="00696389"/>
    <w:rsid w:val="006B48F4"/>
    <w:rsid w:val="006B692D"/>
    <w:rsid w:val="006C35F2"/>
    <w:rsid w:val="006C7931"/>
    <w:rsid w:val="006D305E"/>
    <w:rsid w:val="006D54BB"/>
    <w:rsid w:val="006E721B"/>
    <w:rsid w:val="00702A7B"/>
    <w:rsid w:val="007114C9"/>
    <w:rsid w:val="0071500C"/>
    <w:rsid w:val="0073130F"/>
    <w:rsid w:val="007332C1"/>
    <w:rsid w:val="00734317"/>
    <w:rsid w:val="007402BC"/>
    <w:rsid w:val="00740A11"/>
    <w:rsid w:val="00740EF9"/>
    <w:rsid w:val="00741C33"/>
    <w:rsid w:val="00744789"/>
    <w:rsid w:val="00745CD3"/>
    <w:rsid w:val="0075464D"/>
    <w:rsid w:val="00754BBE"/>
    <w:rsid w:val="00762723"/>
    <w:rsid w:val="00763F57"/>
    <w:rsid w:val="00781FAD"/>
    <w:rsid w:val="00782C21"/>
    <w:rsid w:val="007B5A7B"/>
    <w:rsid w:val="007C08A3"/>
    <w:rsid w:val="007C207E"/>
    <w:rsid w:val="007C4163"/>
    <w:rsid w:val="007C4D87"/>
    <w:rsid w:val="007C590A"/>
    <w:rsid w:val="007C7BC9"/>
    <w:rsid w:val="007C7F65"/>
    <w:rsid w:val="007D452B"/>
    <w:rsid w:val="007D5C05"/>
    <w:rsid w:val="007D70D1"/>
    <w:rsid w:val="007E5A56"/>
    <w:rsid w:val="007F211A"/>
    <w:rsid w:val="007F33D6"/>
    <w:rsid w:val="00800476"/>
    <w:rsid w:val="00803AED"/>
    <w:rsid w:val="0081116C"/>
    <w:rsid w:val="00813279"/>
    <w:rsid w:val="00814F11"/>
    <w:rsid w:val="00816350"/>
    <w:rsid w:val="00817778"/>
    <w:rsid w:val="00821F94"/>
    <w:rsid w:val="00822E15"/>
    <w:rsid w:val="00824D3E"/>
    <w:rsid w:val="00827F1D"/>
    <w:rsid w:val="008335AE"/>
    <w:rsid w:val="00843827"/>
    <w:rsid w:val="00853A63"/>
    <w:rsid w:val="00860227"/>
    <w:rsid w:val="00861EAA"/>
    <w:rsid w:val="00865FD1"/>
    <w:rsid w:val="0086637C"/>
    <w:rsid w:val="00880631"/>
    <w:rsid w:val="00883670"/>
    <w:rsid w:val="00890163"/>
    <w:rsid w:val="008940E0"/>
    <w:rsid w:val="0089507B"/>
    <w:rsid w:val="008A384F"/>
    <w:rsid w:val="008A3C88"/>
    <w:rsid w:val="008B06F6"/>
    <w:rsid w:val="008B236E"/>
    <w:rsid w:val="008B7C73"/>
    <w:rsid w:val="008C6361"/>
    <w:rsid w:val="008D1D7A"/>
    <w:rsid w:val="008E28AF"/>
    <w:rsid w:val="008E3738"/>
    <w:rsid w:val="008F3E4E"/>
    <w:rsid w:val="008F4D33"/>
    <w:rsid w:val="00901A76"/>
    <w:rsid w:val="00907515"/>
    <w:rsid w:val="0091076E"/>
    <w:rsid w:val="009139C4"/>
    <w:rsid w:val="00925391"/>
    <w:rsid w:val="00927C7B"/>
    <w:rsid w:val="00932419"/>
    <w:rsid w:val="00935303"/>
    <w:rsid w:val="00941C57"/>
    <w:rsid w:val="00941E7F"/>
    <w:rsid w:val="00942FCF"/>
    <w:rsid w:val="00943A06"/>
    <w:rsid w:val="00952795"/>
    <w:rsid w:val="00956700"/>
    <w:rsid w:val="00976670"/>
    <w:rsid w:val="00982E07"/>
    <w:rsid w:val="00990B17"/>
    <w:rsid w:val="009A6789"/>
    <w:rsid w:val="009A6F5E"/>
    <w:rsid w:val="009B560F"/>
    <w:rsid w:val="009B6FE9"/>
    <w:rsid w:val="009C0118"/>
    <w:rsid w:val="009C1386"/>
    <w:rsid w:val="009C16A4"/>
    <w:rsid w:val="009D1BC4"/>
    <w:rsid w:val="009D3BA5"/>
    <w:rsid w:val="009D683B"/>
    <w:rsid w:val="009D75BA"/>
    <w:rsid w:val="009E512C"/>
    <w:rsid w:val="00A0452B"/>
    <w:rsid w:val="00A10D2C"/>
    <w:rsid w:val="00A11502"/>
    <w:rsid w:val="00A16AAB"/>
    <w:rsid w:val="00A20B11"/>
    <w:rsid w:val="00A21968"/>
    <w:rsid w:val="00A26567"/>
    <w:rsid w:val="00A32258"/>
    <w:rsid w:val="00A4061C"/>
    <w:rsid w:val="00A41798"/>
    <w:rsid w:val="00A4796F"/>
    <w:rsid w:val="00A50604"/>
    <w:rsid w:val="00A52BFE"/>
    <w:rsid w:val="00A6348E"/>
    <w:rsid w:val="00A640DE"/>
    <w:rsid w:val="00A65829"/>
    <w:rsid w:val="00A67329"/>
    <w:rsid w:val="00A70542"/>
    <w:rsid w:val="00A7325D"/>
    <w:rsid w:val="00A80BEF"/>
    <w:rsid w:val="00A816C6"/>
    <w:rsid w:val="00AA2C8F"/>
    <w:rsid w:val="00AA309A"/>
    <w:rsid w:val="00AA406C"/>
    <w:rsid w:val="00AA5BDA"/>
    <w:rsid w:val="00AB268F"/>
    <w:rsid w:val="00AB5BF2"/>
    <w:rsid w:val="00AC2BCB"/>
    <w:rsid w:val="00AC57D8"/>
    <w:rsid w:val="00AC7B6E"/>
    <w:rsid w:val="00AC7ED7"/>
    <w:rsid w:val="00AD0691"/>
    <w:rsid w:val="00AD1325"/>
    <w:rsid w:val="00AD4A67"/>
    <w:rsid w:val="00AD5177"/>
    <w:rsid w:val="00AE0DF0"/>
    <w:rsid w:val="00AE2FDC"/>
    <w:rsid w:val="00AF1365"/>
    <w:rsid w:val="00AF195F"/>
    <w:rsid w:val="00AF20D8"/>
    <w:rsid w:val="00AF4303"/>
    <w:rsid w:val="00B1219B"/>
    <w:rsid w:val="00B132FD"/>
    <w:rsid w:val="00B34908"/>
    <w:rsid w:val="00B439BC"/>
    <w:rsid w:val="00B43DEF"/>
    <w:rsid w:val="00B503C0"/>
    <w:rsid w:val="00B562C4"/>
    <w:rsid w:val="00B57959"/>
    <w:rsid w:val="00B623B9"/>
    <w:rsid w:val="00B82FD0"/>
    <w:rsid w:val="00B8735A"/>
    <w:rsid w:val="00B90BB8"/>
    <w:rsid w:val="00B91744"/>
    <w:rsid w:val="00BA4D0A"/>
    <w:rsid w:val="00BB1BB7"/>
    <w:rsid w:val="00BB4170"/>
    <w:rsid w:val="00BB6B0C"/>
    <w:rsid w:val="00BC13E8"/>
    <w:rsid w:val="00BC1865"/>
    <w:rsid w:val="00BC2A70"/>
    <w:rsid w:val="00BC3956"/>
    <w:rsid w:val="00BD1646"/>
    <w:rsid w:val="00BD3BDC"/>
    <w:rsid w:val="00BD6EBE"/>
    <w:rsid w:val="00BE10BA"/>
    <w:rsid w:val="00BE3F69"/>
    <w:rsid w:val="00BE59FC"/>
    <w:rsid w:val="00BE6E20"/>
    <w:rsid w:val="00BF372C"/>
    <w:rsid w:val="00C024DE"/>
    <w:rsid w:val="00C10FF5"/>
    <w:rsid w:val="00C14514"/>
    <w:rsid w:val="00C214A1"/>
    <w:rsid w:val="00C21B7A"/>
    <w:rsid w:val="00C26118"/>
    <w:rsid w:val="00C27C4B"/>
    <w:rsid w:val="00C33EAF"/>
    <w:rsid w:val="00C37ADD"/>
    <w:rsid w:val="00C47E17"/>
    <w:rsid w:val="00C51C50"/>
    <w:rsid w:val="00C5594D"/>
    <w:rsid w:val="00C73DCF"/>
    <w:rsid w:val="00C83E9D"/>
    <w:rsid w:val="00C86BE5"/>
    <w:rsid w:val="00C871C0"/>
    <w:rsid w:val="00C92118"/>
    <w:rsid w:val="00CA0F5F"/>
    <w:rsid w:val="00CB4FFD"/>
    <w:rsid w:val="00CB7A56"/>
    <w:rsid w:val="00CD3C74"/>
    <w:rsid w:val="00CE243F"/>
    <w:rsid w:val="00CE3E03"/>
    <w:rsid w:val="00CE4241"/>
    <w:rsid w:val="00CF2007"/>
    <w:rsid w:val="00CF2146"/>
    <w:rsid w:val="00CF3705"/>
    <w:rsid w:val="00CF43CC"/>
    <w:rsid w:val="00CF7EF3"/>
    <w:rsid w:val="00D00628"/>
    <w:rsid w:val="00D16A80"/>
    <w:rsid w:val="00D213A4"/>
    <w:rsid w:val="00D23E80"/>
    <w:rsid w:val="00D249B6"/>
    <w:rsid w:val="00D2579D"/>
    <w:rsid w:val="00D25BDD"/>
    <w:rsid w:val="00D30A8C"/>
    <w:rsid w:val="00D339C1"/>
    <w:rsid w:val="00D47FC8"/>
    <w:rsid w:val="00D5087B"/>
    <w:rsid w:val="00D60D44"/>
    <w:rsid w:val="00D60D94"/>
    <w:rsid w:val="00D654EF"/>
    <w:rsid w:val="00D77BFE"/>
    <w:rsid w:val="00D80A92"/>
    <w:rsid w:val="00D824CF"/>
    <w:rsid w:val="00D84CAE"/>
    <w:rsid w:val="00D97344"/>
    <w:rsid w:val="00D9769F"/>
    <w:rsid w:val="00DA5FC9"/>
    <w:rsid w:val="00DB4246"/>
    <w:rsid w:val="00DB4625"/>
    <w:rsid w:val="00DC2465"/>
    <w:rsid w:val="00DC4456"/>
    <w:rsid w:val="00DC6768"/>
    <w:rsid w:val="00DC7D76"/>
    <w:rsid w:val="00DD1F9A"/>
    <w:rsid w:val="00DD720F"/>
    <w:rsid w:val="00DE105C"/>
    <w:rsid w:val="00DE1654"/>
    <w:rsid w:val="00DE1AF4"/>
    <w:rsid w:val="00DE290D"/>
    <w:rsid w:val="00DE388F"/>
    <w:rsid w:val="00DF419D"/>
    <w:rsid w:val="00E06939"/>
    <w:rsid w:val="00E06E31"/>
    <w:rsid w:val="00E3579E"/>
    <w:rsid w:val="00E4058E"/>
    <w:rsid w:val="00E53E70"/>
    <w:rsid w:val="00E57EEB"/>
    <w:rsid w:val="00E6015D"/>
    <w:rsid w:val="00E60797"/>
    <w:rsid w:val="00E6590D"/>
    <w:rsid w:val="00E65B47"/>
    <w:rsid w:val="00E65F9B"/>
    <w:rsid w:val="00E67C99"/>
    <w:rsid w:val="00E81490"/>
    <w:rsid w:val="00E837D4"/>
    <w:rsid w:val="00E87849"/>
    <w:rsid w:val="00E95ADD"/>
    <w:rsid w:val="00E95C15"/>
    <w:rsid w:val="00EA1116"/>
    <w:rsid w:val="00EA4921"/>
    <w:rsid w:val="00EB264C"/>
    <w:rsid w:val="00EC44DE"/>
    <w:rsid w:val="00ED33EA"/>
    <w:rsid w:val="00ED5CD4"/>
    <w:rsid w:val="00EE2851"/>
    <w:rsid w:val="00EE2F96"/>
    <w:rsid w:val="00EE35D5"/>
    <w:rsid w:val="00EE5850"/>
    <w:rsid w:val="00EE61DE"/>
    <w:rsid w:val="00EF7BA1"/>
    <w:rsid w:val="00F04678"/>
    <w:rsid w:val="00F051CD"/>
    <w:rsid w:val="00F05F7F"/>
    <w:rsid w:val="00F06044"/>
    <w:rsid w:val="00F071E4"/>
    <w:rsid w:val="00F116F1"/>
    <w:rsid w:val="00F13801"/>
    <w:rsid w:val="00F23810"/>
    <w:rsid w:val="00F251DD"/>
    <w:rsid w:val="00F276DE"/>
    <w:rsid w:val="00F37519"/>
    <w:rsid w:val="00F45738"/>
    <w:rsid w:val="00F47DE3"/>
    <w:rsid w:val="00F66A17"/>
    <w:rsid w:val="00F67534"/>
    <w:rsid w:val="00F85BC1"/>
    <w:rsid w:val="00F87877"/>
    <w:rsid w:val="00F936D0"/>
    <w:rsid w:val="00F965E3"/>
    <w:rsid w:val="00FA2CD8"/>
    <w:rsid w:val="00FB1391"/>
    <w:rsid w:val="00FB1CB2"/>
    <w:rsid w:val="00FD09AB"/>
    <w:rsid w:val="00FD2A55"/>
    <w:rsid w:val="00FD374D"/>
    <w:rsid w:val="00FD396A"/>
    <w:rsid w:val="00FD3CBE"/>
    <w:rsid w:val="00FE3127"/>
    <w:rsid w:val="00FF0DF7"/>
    <w:rsid w:val="00FF3BA5"/>
    <w:rsid w:val="00FF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6C0FA-FFDB-47FA-BAD1-9B224562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DC445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C4456"/>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016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593"/>
    <w:rPr>
      <w:rFonts w:ascii="Segoe UI" w:eastAsia="Times New Roman" w:hAnsi="Segoe UI" w:cs="Segoe UI"/>
      <w:sz w:val="18"/>
      <w:szCs w:val="18"/>
    </w:rPr>
  </w:style>
  <w:style w:type="paragraph" w:styleId="ListParagraph">
    <w:name w:val="List Paragraph"/>
    <w:aliases w:val="List Square,Bullets,Paragraphe de liste1"/>
    <w:basedOn w:val="Normal"/>
    <w:link w:val="ListParagraphChar"/>
    <w:uiPriority w:val="34"/>
    <w:qFormat/>
    <w:rsid w:val="00901A76"/>
    <w:pPr>
      <w:ind w:left="720"/>
      <w:contextualSpacing/>
    </w:pPr>
  </w:style>
  <w:style w:type="paragraph" w:styleId="FootnoteText">
    <w:name w:val="footnote text"/>
    <w:aliases w:val="Footnote Text Char Char Char,ft,single space"/>
    <w:basedOn w:val="Normal"/>
    <w:link w:val="FootnoteTextChar"/>
    <w:uiPriority w:val="99"/>
    <w:semiHidden/>
    <w:unhideWhenUsed/>
    <w:rsid w:val="008335AE"/>
    <w:rPr>
      <w:sz w:val="20"/>
      <w:szCs w:val="20"/>
    </w:rPr>
  </w:style>
  <w:style w:type="character" w:customStyle="1" w:styleId="FootnoteTextChar">
    <w:name w:val="Footnote Text Char"/>
    <w:aliases w:val="Footnote Text Char Char Char Char,ft Char,single space Char"/>
    <w:basedOn w:val="DefaultParagraphFont"/>
    <w:link w:val="FootnoteText"/>
    <w:uiPriority w:val="99"/>
    <w:semiHidden/>
    <w:rsid w:val="008335AE"/>
    <w:rPr>
      <w:rFonts w:ascii="Times New Roman" w:eastAsia="Times New Roman" w:hAnsi="Times New Roman" w:cs="Times New Roman"/>
      <w:sz w:val="20"/>
      <w:szCs w:val="20"/>
    </w:rPr>
  </w:style>
  <w:style w:type="character" w:styleId="FootnoteReference">
    <w:name w:val="footnote reference"/>
    <w:aliases w:val="ftref,Footnotes refss"/>
    <w:basedOn w:val="DefaultParagraphFont"/>
    <w:uiPriority w:val="99"/>
    <w:semiHidden/>
    <w:unhideWhenUsed/>
    <w:rsid w:val="008335AE"/>
    <w:rPr>
      <w:vertAlign w:val="superscript"/>
    </w:rPr>
  </w:style>
  <w:style w:type="paragraph" w:styleId="Header">
    <w:name w:val="header"/>
    <w:basedOn w:val="Normal"/>
    <w:link w:val="HeaderChar"/>
    <w:uiPriority w:val="99"/>
    <w:unhideWhenUsed/>
    <w:rsid w:val="00B1219B"/>
    <w:pPr>
      <w:tabs>
        <w:tab w:val="center" w:pos="4680"/>
        <w:tab w:val="right" w:pos="9360"/>
      </w:tabs>
    </w:pPr>
  </w:style>
  <w:style w:type="character" w:customStyle="1" w:styleId="HeaderChar">
    <w:name w:val="Header Char"/>
    <w:basedOn w:val="DefaultParagraphFont"/>
    <w:link w:val="Header"/>
    <w:uiPriority w:val="99"/>
    <w:rsid w:val="00B121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219B"/>
    <w:pPr>
      <w:tabs>
        <w:tab w:val="center" w:pos="4680"/>
        <w:tab w:val="right" w:pos="9360"/>
      </w:tabs>
    </w:pPr>
  </w:style>
  <w:style w:type="character" w:customStyle="1" w:styleId="FooterChar">
    <w:name w:val="Footer Char"/>
    <w:basedOn w:val="DefaultParagraphFont"/>
    <w:link w:val="Footer"/>
    <w:uiPriority w:val="99"/>
    <w:rsid w:val="00B1219B"/>
    <w:rPr>
      <w:rFonts w:ascii="Times New Roman" w:eastAsia="Times New Roman" w:hAnsi="Times New Roman" w:cs="Times New Roman"/>
      <w:sz w:val="24"/>
      <w:szCs w:val="24"/>
    </w:rPr>
  </w:style>
  <w:style w:type="character" w:styleId="Emphasis">
    <w:name w:val="Emphasis"/>
    <w:basedOn w:val="DefaultParagraphFont"/>
    <w:uiPriority w:val="20"/>
    <w:qFormat/>
    <w:rsid w:val="005F7FD5"/>
    <w:rPr>
      <w:i/>
      <w:iCs/>
    </w:rPr>
  </w:style>
  <w:style w:type="paragraph" w:styleId="NormalWeb">
    <w:name w:val="Normal (Web)"/>
    <w:basedOn w:val="Normal"/>
    <w:uiPriority w:val="99"/>
    <w:semiHidden/>
    <w:unhideWhenUsed/>
    <w:rsid w:val="0009780A"/>
    <w:pPr>
      <w:spacing w:before="100" w:beforeAutospacing="1" w:after="100" w:afterAutospacing="1"/>
    </w:pPr>
  </w:style>
  <w:style w:type="character" w:customStyle="1" w:styleId="ListParagraphChar">
    <w:name w:val="List Paragraph Char"/>
    <w:aliases w:val="List Square Char,Bullets Char,Paragraphe de liste1 Char"/>
    <w:link w:val="ListParagraph"/>
    <w:uiPriority w:val="34"/>
    <w:rsid w:val="001D5F06"/>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61EAA"/>
    <w:rPr>
      <w:sz w:val="20"/>
      <w:szCs w:val="20"/>
    </w:rPr>
  </w:style>
  <w:style w:type="character" w:customStyle="1" w:styleId="EndnoteTextChar">
    <w:name w:val="Endnote Text Char"/>
    <w:basedOn w:val="DefaultParagraphFont"/>
    <w:link w:val="EndnoteText"/>
    <w:uiPriority w:val="99"/>
    <w:semiHidden/>
    <w:rsid w:val="00861EA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61E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1289">
      <w:bodyDiv w:val="1"/>
      <w:marLeft w:val="0"/>
      <w:marRight w:val="0"/>
      <w:marTop w:val="0"/>
      <w:marBottom w:val="0"/>
      <w:divBdr>
        <w:top w:val="none" w:sz="0" w:space="0" w:color="auto"/>
        <w:left w:val="none" w:sz="0" w:space="0" w:color="auto"/>
        <w:bottom w:val="none" w:sz="0" w:space="0" w:color="auto"/>
        <w:right w:val="none" w:sz="0" w:space="0" w:color="auto"/>
      </w:divBdr>
      <w:divsChild>
        <w:div w:id="1702826917">
          <w:marLeft w:val="547"/>
          <w:marRight w:val="0"/>
          <w:marTop w:val="173"/>
          <w:marBottom w:val="0"/>
          <w:divBdr>
            <w:top w:val="none" w:sz="0" w:space="0" w:color="auto"/>
            <w:left w:val="none" w:sz="0" w:space="0" w:color="auto"/>
            <w:bottom w:val="none" w:sz="0" w:space="0" w:color="auto"/>
            <w:right w:val="none" w:sz="0" w:space="0" w:color="auto"/>
          </w:divBdr>
        </w:div>
        <w:div w:id="1904097203">
          <w:marLeft w:val="1008"/>
          <w:marRight w:val="0"/>
          <w:marTop w:val="173"/>
          <w:marBottom w:val="0"/>
          <w:divBdr>
            <w:top w:val="none" w:sz="0" w:space="0" w:color="auto"/>
            <w:left w:val="none" w:sz="0" w:space="0" w:color="auto"/>
            <w:bottom w:val="none" w:sz="0" w:space="0" w:color="auto"/>
            <w:right w:val="none" w:sz="0" w:space="0" w:color="auto"/>
          </w:divBdr>
        </w:div>
        <w:div w:id="69935729">
          <w:marLeft w:val="547"/>
          <w:marRight w:val="0"/>
          <w:marTop w:val="173"/>
          <w:marBottom w:val="0"/>
          <w:divBdr>
            <w:top w:val="none" w:sz="0" w:space="0" w:color="auto"/>
            <w:left w:val="none" w:sz="0" w:space="0" w:color="auto"/>
            <w:bottom w:val="none" w:sz="0" w:space="0" w:color="auto"/>
            <w:right w:val="none" w:sz="0" w:space="0" w:color="auto"/>
          </w:divBdr>
        </w:div>
        <w:div w:id="1446535476">
          <w:marLeft w:val="1008"/>
          <w:marRight w:val="0"/>
          <w:marTop w:val="173"/>
          <w:marBottom w:val="0"/>
          <w:divBdr>
            <w:top w:val="none" w:sz="0" w:space="0" w:color="auto"/>
            <w:left w:val="none" w:sz="0" w:space="0" w:color="auto"/>
            <w:bottom w:val="none" w:sz="0" w:space="0" w:color="auto"/>
            <w:right w:val="none" w:sz="0" w:space="0" w:color="auto"/>
          </w:divBdr>
        </w:div>
        <w:div w:id="1477451401">
          <w:marLeft w:val="1008"/>
          <w:marRight w:val="0"/>
          <w:marTop w:val="173"/>
          <w:marBottom w:val="0"/>
          <w:divBdr>
            <w:top w:val="none" w:sz="0" w:space="0" w:color="auto"/>
            <w:left w:val="none" w:sz="0" w:space="0" w:color="auto"/>
            <w:bottom w:val="none" w:sz="0" w:space="0" w:color="auto"/>
            <w:right w:val="none" w:sz="0" w:space="0" w:color="auto"/>
          </w:divBdr>
        </w:div>
      </w:divsChild>
    </w:div>
    <w:div w:id="162477353">
      <w:bodyDiv w:val="1"/>
      <w:marLeft w:val="0"/>
      <w:marRight w:val="0"/>
      <w:marTop w:val="0"/>
      <w:marBottom w:val="0"/>
      <w:divBdr>
        <w:top w:val="none" w:sz="0" w:space="0" w:color="auto"/>
        <w:left w:val="none" w:sz="0" w:space="0" w:color="auto"/>
        <w:bottom w:val="none" w:sz="0" w:space="0" w:color="auto"/>
        <w:right w:val="none" w:sz="0" w:space="0" w:color="auto"/>
      </w:divBdr>
    </w:div>
    <w:div w:id="191385381">
      <w:bodyDiv w:val="1"/>
      <w:marLeft w:val="0"/>
      <w:marRight w:val="0"/>
      <w:marTop w:val="0"/>
      <w:marBottom w:val="0"/>
      <w:divBdr>
        <w:top w:val="none" w:sz="0" w:space="0" w:color="auto"/>
        <w:left w:val="none" w:sz="0" w:space="0" w:color="auto"/>
        <w:bottom w:val="none" w:sz="0" w:space="0" w:color="auto"/>
        <w:right w:val="none" w:sz="0" w:space="0" w:color="auto"/>
      </w:divBdr>
    </w:div>
    <w:div w:id="313264035">
      <w:bodyDiv w:val="1"/>
      <w:marLeft w:val="0"/>
      <w:marRight w:val="0"/>
      <w:marTop w:val="0"/>
      <w:marBottom w:val="0"/>
      <w:divBdr>
        <w:top w:val="none" w:sz="0" w:space="0" w:color="auto"/>
        <w:left w:val="none" w:sz="0" w:space="0" w:color="auto"/>
        <w:bottom w:val="none" w:sz="0" w:space="0" w:color="auto"/>
        <w:right w:val="none" w:sz="0" w:space="0" w:color="auto"/>
      </w:divBdr>
      <w:divsChild>
        <w:div w:id="1921718526">
          <w:marLeft w:val="1008"/>
          <w:marRight w:val="0"/>
          <w:marTop w:val="154"/>
          <w:marBottom w:val="0"/>
          <w:divBdr>
            <w:top w:val="none" w:sz="0" w:space="0" w:color="auto"/>
            <w:left w:val="none" w:sz="0" w:space="0" w:color="auto"/>
            <w:bottom w:val="none" w:sz="0" w:space="0" w:color="auto"/>
            <w:right w:val="none" w:sz="0" w:space="0" w:color="auto"/>
          </w:divBdr>
        </w:div>
        <w:div w:id="101189396">
          <w:marLeft w:val="1008"/>
          <w:marRight w:val="0"/>
          <w:marTop w:val="154"/>
          <w:marBottom w:val="0"/>
          <w:divBdr>
            <w:top w:val="none" w:sz="0" w:space="0" w:color="auto"/>
            <w:left w:val="none" w:sz="0" w:space="0" w:color="auto"/>
            <w:bottom w:val="none" w:sz="0" w:space="0" w:color="auto"/>
            <w:right w:val="none" w:sz="0" w:space="0" w:color="auto"/>
          </w:divBdr>
        </w:div>
        <w:div w:id="989944595">
          <w:marLeft w:val="1008"/>
          <w:marRight w:val="0"/>
          <w:marTop w:val="154"/>
          <w:marBottom w:val="0"/>
          <w:divBdr>
            <w:top w:val="none" w:sz="0" w:space="0" w:color="auto"/>
            <w:left w:val="none" w:sz="0" w:space="0" w:color="auto"/>
            <w:bottom w:val="none" w:sz="0" w:space="0" w:color="auto"/>
            <w:right w:val="none" w:sz="0" w:space="0" w:color="auto"/>
          </w:divBdr>
        </w:div>
        <w:div w:id="1990744415">
          <w:marLeft w:val="1008"/>
          <w:marRight w:val="0"/>
          <w:marTop w:val="154"/>
          <w:marBottom w:val="0"/>
          <w:divBdr>
            <w:top w:val="none" w:sz="0" w:space="0" w:color="auto"/>
            <w:left w:val="none" w:sz="0" w:space="0" w:color="auto"/>
            <w:bottom w:val="none" w:sz="0" w:space="0" w:color="auto"/>
            <w:right w:val="none" w:sz="0" w:space="0" w:color="auto"/>
          </w:divBdr>
        </w:div>
        <w:div w:id="864947599">
          <w:marLeft w:val="1008"/>
          <w:marRight w:val="0"/>
          <w:marTop w:val="134"/>
          <w:marBottom w:val="0"/>
          <w:divBdr>
            <w:top w:val="none" w:sz="0" w:space="0" w:color="auto"/>
            <w:left w:val="none" w:sz="0" w:space="0" w:color="auto"/>
            <w:bottom w:val="none" w:sz="0" w:space="0" w:color="auto"/>
            <w:right w:val="none" w:sz="0" w:space="0" w:color="auto"/>
          </w:divBdr>
        </w:div>
        <w:div w:id="1774202889">
          <w:marLeft w:val="1008"/>
          <w:marRight w:val="0"/>
          <w:marTop w:val="134"/>
          <w:marBottom w:val="0"/>
          <w:divBdr>
            <w:top w:val="none" w:sz="0" w:space="0" w:color="auto"/>
            <w:left w:val="none" w:sz="0" w:space="0" w:color="auto"/>
            <w:bottom w:val="none" w:sz="0" w:space="0" w:color="auto"/>
            <w:right w:val="none" w:sz="0" w:space="0" w:color="auto"/>
          </w:divBdr>
        </w:div>
        <w:div w:id="450519847">
          <w:marLeft w:val="1008"/>
          <w:marRight w:val="0"/>
          <w:marTop w:val="134"/>
          <w:marBottom w:val="0"/>
          <w:divBdr>
            <w:top w:val="none" w:sz="0" w:space="0" w:color="auto"/>
            <w:left w:val="none" w:sz="0" w:space="0" w:color="auto"/>
            <w:bottom w:val="none" w:sz="0" w:space="0" w:color="auto"/>
            <w:right w:val="none" w:sz="0" w:space="0" w:color="auto"/>
          </w:divBdr>
        </w:div>
        <w:div w:id="468208171">
          <w:marLeft w:val="1008"/>
          <w:marRight w:val="0"/>
          <w:marTop w:val="134"/>
          <w:marBottom w:val="0"/>
          <w:divBdr>
            <w:top w:val="none" w:sz="0" w:space="0" w:color="auto"/>
            <w:left w:val="none" w:sz="0" w:space="0" w:color="auto"/>
            <w:bottom w:val="none" w:sz="0" w:space="0" w:color="auto"/>
            <w:right w:val="none" w:sz="0" w:space="0" w:color="auto"/>
          </w:divBdr>
        </w:div>
        <w:div w:id="948700604">
          <w:marLeft w:val="1512"/>
          <w:marRight w:val="0"/>
          <w:marTop w:val="101"/>
          <w:marBottom w:val="0"/>
          <w:divBdr>
            <w:top w:val="none" w:sz="0" w:space="0" w:color="auto"/>
            <w:left w:val="none" w:sz="0" w:space="0" w:color="auto"/>
            <w:bottom w:val="none" w:sz="0" w:space="0" w:color="auto"/>
            <w:right w:val="none" w:sz="0" w:space="0" w:color="auto"/>
          </w:divBdr>
        </w:div>
        <w:div w:id="1685091874">
          <w:marLeft w:val="1512"/>
          <w:marRight w:val="0"/>
          <w:marTop w:val="101"/>
          <w:marBottom w:val="0"/>
          <w:divBdr>
            <w:top w:val="none" w:sz="0" w:space="0" w:color="auto"/>
            <w:left w:val="none" w:sz="0" w:space="0" w:color="auto"/>
            <w:bottom w:val="none" w:sz="0" w:space="0" w:color="auto"/>
            <w:right w:val="none" w:sz="0" w:space="0" w:color="auto"/>
          </w:divBdr>
        </w:div>
      </w:divsChild>
    </w:div>
    <w:div w:id="415708267">
      <w:bodyDiv w:val="1"/>
      <w:marLeft w:val="0"/>
      <w:marRight w:val="0"/>
      <w:marTop w:val="0"/>
      <w:marBottom w:val="0"/>
      <w:divBdr>
        <w:top w:val="none" w:sz="0" w:space="0" w:color="auto"/>
        <w:left w:val="none" w:sz="0" w:space="0" w:color="auto"/>
        <w:bottom w:val="none" w:sz="0" w:space="0" w:color="auto"/>
        <w:right w:val="none" w:sz="0" w:space="0" w:color="auto"/>
      </w:divBdr>
      <w:divsChild>
        <w:div w:id="1382972826">
          <w:marLeft w:val="547"/>
          <w:marRight w:val="0"/>
          <w:marTop w:val="154"/>
          <w:marBottom w:val="0"/>
          <w:divBdr>
            <w:top w:val="none" w:sz="0" w:space="0" w:color="auto"/>
            <w:left w:val="none" w:sz="0" w:space="0" w:color="auto"/>
            <w:bottom w:val="none" w:sz="0" w:space="0" w:color="auto"/>
            <w:right w:val="none" w:sz="0" w:space="0" w:color="auto"/>
          </w:divBdr>
        </w:div>
      </w:divsChild>
    </w:div>
    <w:div w:id="456682382">
      <w:bodyDiv w:val="1"/>
      <w:marLeft w:val="0"/>
      <w:marRight w:val="0"/>
      <w:marTop w:val="0"/>
      <w:marBottom w:val="0"/>
      <w:divBdr>
        <w:top w:val="none" w:sz="0" w:space="0" w:color="auto"/>
        <w:left w:val="none" w:sz="0" w:space="0" w:color="auto"/>
        <w:bottom w:val="none" w:sz="0" w:space="0" w:color="auto"/>
        <w:right w:val="none" w:sz="0" w:space="0" w:color="auto"/>
      </w:divBdr>
      <w:divsChild>
        <w:div w:id="1272476437">
          <w:marLeft w:val="547"/>
          <w:marRight w:val="0"/>
          <w:marTop w:val="154"/>
          <w:marBottom w:val="0"/>
          <w:divBdr>
            <w:top w:val="none" w:sz="0" w:space="0" w:color="auto"/>
            <w:left w:val="none" w:sz="0" w:space="0" w:color="auto"/>
            <w:bottom w:val="none" w:sz="0" w:space="0" w:color="auto"/>
            <w:right w:val="none" w:sz="0" w:space="0" w:color="auto"/>
          </w:divBdr>
        </w:div>
        <w:div w:id="1599872127">
          <w:marLeft w:val="547"/>
          <w:marRight w:val="0"/>
          <w:marTop w:val="154"/>
          <w:marBottom w:val="0"/>
          <w:divBdr>
            <w:top w:val="none" w:sz="0" w:space="0" w:color="auto"/>
            <w:left w:val="none" w:sz="0" w:space="0" w:color="auto"/>
            <w:bottom w:val="none" w:sz="0" w:space="0" w:color="auto"/>
            <w:right w:val="none" w:sz="0" w:space="0" w:color="auto"/>
          </w:divBdr>
        </w:div>
        <w:div w:id="1458910105">
          <w:marLeft w:val="547"/>
          <w:marRight w:val="0"/>
          <w:marTop w:val="154"/>
          <w:marBottom w:val="0"/>
          <w:divBdr>
            <w:top w:val="none" w:sz="0" w:space="0" w:color="auto"/>
            <w:left w:val="none" w:sz="0" w:space="0" w:color="auto"/>
            <w:bottom w:val="none" w:sz="0" w:space="0" w:color="auto"/>
            <w:right w:val="none" w:sz="0" w:space="0" w:color="auto"/>
          </w:divBdr>
        </w:div>
      </w:divsChild>
    </w:div>
    <w:div w:id="507405317">
      <w:bodyDiv w:val="1"/>
      <w:marLeft w:val="0"/>
      <w:marRight w:val="0"/>
      <w:marTop w:val="0"/>
      <w:marBottom w:val="0"/>
      <w:divBdr>
        <w:top w:val="none" w:sz="0" w:space="0" w:color="auto"/>
        <w:left w:val="none" w:sz="0" w:space="0" w:color="auto"/>
        <w:bottom w:val="none" w:sz="0" w:space="0" w:color="auto"/>
        <w:right w:val="none" w:sz="0" w:space="0" w:color="auto"/>
      </w:divBdr>
    </w:div>
    <w:div w:id="580408685">
      <w:bodyDiv w:val="1"/>
      <w:marLeft w:val="0"/>
      <w:marRight w:val="0"/>
      <w:marTop w:val="0"/>
      <w:marBottom w:val="0"/>
      <w:divBdr>
        <w:top w:val="none" w:sz="0" w:space="0" w:color="auto"/>
        <w:left w:val="none" w:sz="0" w:space="0" w:color="auto"/>
        <w:bottom w:val="none" w:sz="0" w:space="0" w:color="auto"/>
        <w:right w:val="none" w:sz="0" w:space="0" w:color="auto"/>
      </w:divBdr>
    </w:div>
    <w:div w:id="664935959">
      <w:bodyDiv w:val="1"/>
      <w:marLeft w:val="0"/>
      <w:marRight w:val="0"/>
      <w:marTop w:val="0"/>
      <w:marBottom w:val="0"/>
      <w:divBdr>
        <w:top w:val="none" w:sz="0" w:space="0" w:color="auto"/>
        <w:left w:val="none" w:sz="0" w:space="0" w:color="auto"/>
        <w:bottom w:val="none" w:sz="0" w:space="0" w:color="auto"/>
        <w:right w:val="none" w:sz="0" w:space="0" w:color="auto"/>
      </w:divBdr>
    </w:div>
    <w:div w:id="751702977">
      <w:bodyDiv w:val="1"/>
      <w:marLeft w:val="0"/>
      <w:marRight w:val="0"/>
      <w:marTop w:val="0"/>
      <w:marBottom w:val="0"/>
      <w:divBdr>
        <w:top w:val="none" w:sz="0" w:space="0" w:color="auto"/>
        <w:left w:val="none" w:sz="0" w:space="0" w:color="auto"/>
        <w:bottom w:val="none" w:sz="0" w:space="0" w:color="auto"/>
        <w:right w:val="none" w:sz="0" w:space="0" w:color="auto"/>
      </w:divBdr>
    </w:div>
    <w:div w:id="983239889">
      <w:bodyDiv w:val="1"/>
      <w:marLeft w:val="0"/>
      <w:marRight w:val="0"/>
      <w:marTop w:val="0"/>
      <w:marBottom w:val="0"/>
      <w:divBdr>
        <w:top w:val="none" w:sz="0" w:space="0" w:color="auto"/>
        <w:left w:val="none" w:sz="0" w:space="0" w:color="auto"/>
        <w:bottom w:val="none" w:sz="0" w:space="0" w:color="auto"/>
        <w:right w:val="none" w:sz="0" w:space="0" w:color="auto"/>
      </w:divBdr>
      <w:divsChild>
        <w:div w:id="1398288530">
          <w:marLeft w:val="720"/>
          <w:marRight w:val="0"/>
          <w:marTop w:val="96"/>
          <w:marBottom w:val="0"/>
          <w:divBdr>
            <w:top w:val="none" w:sz="0" w:space="0" w:color="auto"/>
            <w:left w:val="none" w:sz="0" w:space="0" w:color="auto"/>
            <w:bottom w:val="none" w:sz="0" w:space="0" w:color="auto"/>
            <w:right w:val="none" w:sz="0" w:space="0" w:color="auto"/>
          </w:divBdr>
        </w:div>
        <w:div w:id="1598294577">
          <w:marLeft w:val="720"/>
          <w:marRight w:val="0"/>
          <w:marTop w:val="96"/>
          <w:marBottom w:val="0"/>
          <w:divBdr>
            <w:top w:val="none" w:sz="0" w:space="0" w:color="auto"/>
            <w:left w:val="none" w:sz="0" w:space="0" w:color="auto"/>
            <w:bottom w:val="none" w:sz="0" w:space="0" w:color="auto"/>
            <w:right w:val="none" w:sz="0" w:space="0" w:color="auto"/>
          </w:divBdr>
        </w:div>
        <w:div w:id="1536309959">
          <w:marLeft w:val="720"/>
          <w:marRight w:val="0"/>
          <w:marTop w:val="96"/>
          <w:marBottom w:val="0"/>
          <w:divBdr>
            <w:top w:val="none" w:sz="0" w:space="0" w:color="auto"/>
            <w:left w:val="none" w:sz="0" w:space="0" w:color="auto"/>
            <w:bottom w:val="none" w:sz="0" w:space="0" w:color="auto"/>
            <w:right w:val="none" w:sz="0" w:space="0" w:color="auto"/>
          </w:divBdr>
        </w:div>
        <w:div w:id="1400402229">
          <w:marLeft w:val="720"/>
          <w:marRight w:val="0"/>
          <w:marTop w:val="96"/>
          <w:marBottom w:val="0"/>
          <w:divBdr>
            <w:top w:val="none" w:sz="0" w:space="0" w:color="auto"/>
            <w:left w:val="none" w:sz="0" w:space="0" w:color="auto"/>
            <w:bottom w:val="none" w:sz="0" w:space="0" w:color="auto"/>
            <w:right w:val="none" w:sz="0" w:space="0" w:color="auto"/>
          </w:divBdr>
        </w:div>
      </w:divsChild>
    </w:div>
    <w:div w:id="1018627011">
      <w:bodyDiv w:val="1"/>
      <w:marLeft w:val="0"/>
      <w:marRight w:val="0"/>
      <w:marTop w:val="0"/>
      <w:marBottom w:val="0"/>
      <w:divBdr>
        <w:top w:val="none" w:sz="0" w:space="0" w:color="auto"/>
        <w:left w:val="none" w:sz="0" w:space="0" w:color="auto"/>
        <w:bottom w:val="none" w:sz="0" w:space="0" w:color="auto"/>
        <w:right w:val="none" w:sz="0" w:space="0" w:color="auto"/>
      </w:divBdr>
      <w:divsChild>
        <w:div w:id="742874049">
          <w:marLeft w:val="1008"/>
          <w:marRight w:val="0"/>
          <w:marTop w:val="154"/>
          <w:marBottom w:val="0"/>
          <w:divBdr>
            <w:top w:val="none" w:sz="0" w:space="0" w:color="auto"/>
            <w:left w:val="none" w:sz="0" w:space="0" w:color="auto"/>
            <w:bottom w:val="none" w:sz="0" w:space="0" w:color="auto"/>
            <w:right w:val="none" w:sz="0" w:space="0" w:color="auto"/>
          </w:divBdr>
        </w:div>
        <w:div w:id="1444769236">
          <w:marLeft w:val="1008"/>
          <w:marRight w:val="0"/>
          <w:marTop w:val="154"/>
          <w:marBottom w:val="0"/>
          <w:divBdr>
            <w:top w:val="none" w:sz="0" w:space="0" w:color="auto"/>
            <w:left w:val="none" w:sz="0" w:space="0" w:color="auto"/>
            <w:bottom w:val="none" w:sz="0" w:space="0" w:color="auto"/>
            <w:right w:val="none" w:sz="0" w:space="0" w:color="auto"/>
          </w:divBdr>
        </w:div>
        <w:div w:id="2027977792">
          <w:marLeft w:val="1008"/>
          <w:marRight w:val="0"/>
          <w:marTop w:val="154"/>
          <w:marBottom w:val="0"/>
          <w:divBdr>
            <w:top w:val="none" w:sz="0" w:space="0" w:color="auto"/>
            <w:left w:val="none" w:sz="0" w:space="0" w:color="auto"/>
            <w:bottom w:val="none" w:sz="0" w:space="0" w:color="auto"/>
            <w:right w:val="none" w:sz="0" w:space="0" w:color="auto"/>
          </w:divBdr>
        </w:div>
        <w:div w:id="2139492716">
          <w:marLeft w:val="1008"/>
          <w:marRight w:val="0"/>
          <w:marTop w:val="154"/>
          <w:marBottom w:val="0"/>
          <w:divBdr>
            <w:top w:val="none" w:sz="0" w:space="0" w:color="auto"/>
            <w:left w:val="none" w:sz="0" w:space="0" w:color="auto"/>
            <w:bottom w:val="none" w:sz="0" w:space="0" w:color="auto"/>
            <w:right w:val="none" w:sz="0" w:space="0" w:color="auto"/>
          </w:divBdr>
        </w:div>
        <w:div w:id="1254973704">
          <w:marLeft w:val="1008"/>
          <w:marRight w:val="0"/>
          <w:marTop w:val="134"/>
          <w:marBottom w:val="0"/>
          <w:divBdr>
            <w:top w:val="none" w:sz="0" w:space="0" w:color="auto"/>
            <w:left w:val="none" w:sz="0" w:space="0" w:color="auto"/>
            <w:bottom w:val="none" w:sz="0" w:space="0" w:color="auto"/>
            <w:right w:val="none" w:sz="0" w:space="0" w:color="auto"/>
          </w:divBdr>
        </w:div>
        <w:div w:id="1101687477">
          <w:marLeft w:val="1008"/>
          <w:marRight w:val="0"/>
          <w:marTop w:val="134"/>
          <w:marBottom w:val="0"/>
          <w:divBdr>
            <w:top w:val="none" w:sz="0" w:space="0" w:color="auto"/>
            <w:left w:val="none" w:sz="0" w:space="0" w:color="auto"/>
            <w:bottom w:val="none" w:sz="0" w:space="0" w:color="auto"/>
            <w:right w:val="none" w:sz="0" w:space="0" w:color="auto"/>
          </w:divBdr>
        </w:div>
        <w:div w:id="325935535">
          <w:marLeft w:val="1008"/>
          <w:marRight w:val="0"/>
          <w:marTop w:val="134"/>
          <w:marBottom w:val="0"/>
          <w:divBdr>
            <w:top w:val="none" w:sz="0" w:space="0" w:color="auto"/>
            <w:left w:val="none" w:sz="0" w:space="0" w:color="auto"/>
            <w:bottom w:val="none" w:sz="0" w:space="0" w:color="auto"/>
            <w:right w:val="none" w:sz="0" w:space="0" w:color="auto"/>
          </w:divBdr>
        </w:div>
        <w:div w:id="144973050">
          <w:marLeft w:val="1008"/>
          <w:marRight w:val="0"/>
          <w:marTop w:val="134"/>
          <w:marBottom w:val="0"/>
          <w:divBdr>
            <w:top w:val="none" w:sz="0" w:space="0" w:color="auto"/>
            <w:left w:val="none" w:sz="0" w:space="0" w:color="auto"/>
            <w:bottom w:val="none" w:sz="0" w:space="0" w:color="auto"/>
            <w:right w:val="none" w:sz="0" w:space="0" w:color="auto"/>
          </w:divBdr>
        </w:div>
        <w:div w:id="128012145">
          <w:marLeft w:val="1512"/>
          <w:marRight w:val="0"/>
          <w:marTop w:val="101"/>
          <w:marBottom w:val="0"/>
          <w:divBdr>
            <w:top w:val="none" w:sz="0" w:space="0" w:color="auto"/>
            <w:left w:val="none" w:sz="0" w:space="0" w:color="auto"/>
            <w:bottom w:val="none" w:sz="0" w:space="0" w:color="auto"/>
            <w:right w:val="none" w:sz="0" w:space="0" w:color="auto"/>
          </w:divBdr>
        </w:div>
        <w:div w:id="2056659028">
          <w:marLeft w:val="1512"/>
          <w:marRight w:val="0"/>
          <w:marTop w:val="101"/>
          <w:marBottom w:val="0"/>
          <w:divBdr>
            <w:top w:val="none" w:sz="0" w:space="0" w:color="auto"/>
            <w:left w:val="none" w:sz="0" w:space="0" w:color="auto"/>
            <w:bottom w:val="none" w:sz="0" w:space="0" w:color="auto"/>
            <w:right w:val="none" w:sz="0" w:space="0" w:color="auto"/>
          </w:divBdr>
        </w:div>
      </w:divsChild>
    </w:div>
    <w:div w:id="1283531793">
      <w:bodyDiv w:val="1"/>
      <w:marLeft w:val="0"/>
      <w:marRight w:val="0"/>
      <w:marTop w:val="0"/>
      <w:marBottom w:val="0"/>
      <w:divBdr>
        <w:top w:val="none" w:sz="0" w:space="0" w:color="auto"/>
        <w:left w:val="none" w:sz="0" w:space="0" w:color="auto"/>
        <w:bottom w:val="none" w:sz="0" w:space="0" w:color="auto"/>
        <w:right w:val="none" w:sz="0" w:space="0" w:color="auto"/>
      </w:divBdr>
    </w:div>
    <w:div w:id="1475490254">
      <w:bodyDiv w:val="1"/>
      <w:marLeft w:val="0"/>
      <w:marRight w:val="0"/>
      <w:marTop w:val="0"/>
      <w:marBottom w:val="0"/>
      <w:divBdr>
        <w:top w:val="none" w:sz="0" w:space="0" w:color="auto"/>
        <w:left w:val="none" w:sz="0" w:space="0" w:color="auto"/>
        <w:bottom w:val="none" w:sz="0" w:space="0" w:color="auto"/>
        <w:right w:val="none" w:sz="0" w:space="0" w:color="auto"/>
      </w:divBdr>
      <w:divsChild>
        <w:div w:id="1157766081">
          <w:marLeft w:val="576"/>
          <w:marRight w:val="0"/>
          <w:marTop w:val="154"/>
          <w:marBottom w:val="0"/>
          <w:divBdr>
            <w:top w:val="none" w:sz="0" w:space="0" w:color="auto"/>
            <w:left w:val="none" w:sz="0" w:space="0" w:color="auto"/>
            <w:bottom w:val="none" w:sz="0" w:space="0" w:color="auto"/>
            <w:right w:val="none" w:sz="0" w:space="0" w:color="auto"/>
          </w:divBdr>
        </w:div>
        <w:div w:id="386733521">
          <w:marLeft w:val="576"/>
          <w:marRight w:val="0"/>
          <w:marTop w:val="154"/>
          <w:marBottom w:val="0"/>
          <w:divBdr>
            <w:top w:val="none" w:sz="0" w:space="0" w:color="auto"/>
            <w:left w:val="none" w:sz="0" w:space="0" w:color="auto"/>
            <w:bottom w:val="none" w:sz="0" w:space="0" w:color="auto"/>
            <w:right w:val="none" w:sz="0" w:space="0" w:color="auto"/>
          </w:divBdr>
        </w:div>
        <w:div w:id="3367865">
          <w:marLeft w:val="576"/>
          <w:marRight w:val="0"/>
          <w:marTop w:val="154"/>
          <w:marBottom w:val="0"/>
          <w:divBdr>
            <w:top w:val="none" w:sz="0" w:space="0" w:color="auto"/>
            <w:left w:val="none" w:sz="0" w:space="0" w:color="auto"/>
            <w:bottom w:val="none" w:sz="0" w:space="0" w:color="auto"/>
            <w:right w:val="none" w:sz="0" w:space="0" w:color="auto"/>
          </w:divBdr>
        </w:div>
        <w:div w:id="905651800">
          <w:marLeft w:val="576"/>
          <w:marRight w:val="0"/>
          <w:marTop w:val="154"/>
          <w:marBottom w:val="0"/>
          <w:divBdr>
            <w:top w:val="none" w:sz="0" w:space="0" w:color="auto"/>
            <w:left w:val="none" w:sz="0" w:space="0" w:color="auto"/>
            <w:bottom w:val="none" w:sz="0" w:space="0" w:color="auto"/>
            <w:right w:val="none" w:sz="0" w:space="0" w:color="auto"/>
          </w:divBdr>
        </w:div>
        <w:div w:id="55208423">
          <w:marLeft w:val="576"/>
          <w:marRight w:val="0"/>
          <w:marTop w:val="154"/>
          <w:marBottom w:val="0"/>
          <w:divBdr>
            <w:top w:val="none" w:sz="0" w:space="0" w:color="auto"/>
            <w:left w:val="none" w:sz="0" w:space="0" w:color="auto"/>
            <w:bottom w:val="none" w:sz="0" w:space="0" w:color="auto"/>
            <w:right w:val="none" w:sz="0" w:space="0" w:color="auto"/>
          </w:divBdr>
        </w:div>
        <w:div w:id="824205261">
          <w:marLeft w:val="576"/>
          <w:marRight w:val="0"/>
          <w:marTop w:val="154"/>
          <w:marBottom w:val="0"/>
          <w:divBdr>
            <w:top w:val="none" w:sz="0" w:space="0" w:color="auto"/>
            <w:left w:val="none" w:sz="0" w:space="0" w:color="auto"/>
            <w:bottom w:val="none" w:sz="0" w:space="0" w:color="auto"/>
            <w:right w:val="none" w:sz="0" w:space="0" w:color="auto"/>
          </w:divBdr>
        </w:div>
      </w:divsChild>
    </w:div>
    <w:div w:id="1477143852">
      <w:bodyDiv w:val="1"/>
      <w:marLeft w:val="0"/>
      <w:marRight w:val="0"/>
      <w:marTop w:val="0"/>
      <w:marBottom w:val="0"/>
      <w:divBdr>
        <w:top w:val="none" w:sz="0" w:space="0" w:color="auto"/>
        <w:left w:val="none" w:sz="0" w:space="0" w:color="auto"/>
        <w:bottom w:val="none" w:sz="0" w:space="0" w:color="auto"/>
        <w:right w:val="none" w:sz="0" w:space="0" w:color="auto"/>
      </w:divBdr>
    </w:div>
    <w:div w:id="1567300816">
      <w:bodyDiv w:val="1"/>
      <w:marLeft w:val="0"/>
      <w:marRight w:val="0"/>
      <w:marTop w:val="0"/>
      <w:marBottom w:val="0"/>
      <w:divBdr>
        <w:top w:val="none" w:sz="0" w:space="0" w:color="auto"/>
        <w:left w:val="none" w:sz="0" w:space="0" w:color="auto"/>
        <w:bottom w:val="none" w:sz="0" w:space="0" w:color="auto"/>
        <w:right w:val="none" w:sz="0" w:space="0" w:color="auto"/>
      </w:divBdr>
      <w:divsChild>
        <w:div w:id="108010037">
          <w:marLeft w:val="547"/>
          <w:marRight w:val="0"/>
          <w:marTop w:val="120"/>
          <w:marBottom w:val="120"/>
          <w:divBdr>
            <w:top w:val="none" w:sz="0" w:space="0" w:color="auto"/>
            <w:left w:val="none" w:sz="0" w:space="0" w:color="auto"/>
            <w:bottom w:val="none" w:sz="0" w:space="0" w:color="auto"/>
            <w:right w:val="none" w:sz="0" w:space="0" w:color="auto"/>
          </w:divBdr>
        </w:div>
        <w:div w:id="302008633">
          <w:marLeft w:val="547"/>
          <w:marRight w:val="0"/>
          <w:marTop w:val="120"/>
          <w:marBottom w:val="120"/>
          <w:divBdr>
            <w:top w:val="none" w:sz="0" w:space="0" w:color="auto"/>
            <w:left w:val="none" w:sz="0" w:space="0" w:color="auto"/>
            <w:bottom w:val="none" w:sz="0" w:space="0" w:color="auto"/>
            <w:right w:val="none" w:sz="0" w:space="0" w:color="auto"/>
          </w:divBdr>
        </w:div>
        <w:div w:id="1896623573">
          <w:marLeft w:val="547"/>
          <w:marRight w:val="0"/>
          <w:marTop w:val="120"/>
          <w:marBottom w:val="120"/>
          <w:divBdr>
            <w:top w:val="none" w:sz="0" w:space="0" w:color="auto"/>
            <w:left w:val="none" w:sz="0" w:space="0" w:color="auto"/>
            <w:bottom w:val="none" w:sz="0" w:space="0" w:color="auto"/>
            <w:right w:val="none" w:sz="0" w:space="0" w:color="auto"/>
          </w:divBdr>
        </w:div>
        <w:div w:id="1999653977">
          <w:marLeft w:val="547"/>
          <w:marRight w:val="0"/>
          <w:marTop w:val="120"/>
          <w:marBottom w:val="120"/>
          <w:divBdr>
            <w:top w:val="none" w:sz="0" w:space="0" w:color="auto"/>
            <w:left w:val="none" w:sz="0" w:space="0" w:color="auto"/>
            <w:bottom w:val="none" w:sz="0" w:space="0" w:color="auto"/>
            <w:right w:val="none" w:sz="0" w:space="0" w:color="auto"/>
          </w:divBdr>
        </w:div>
        <w:div w:id="1402023842">
          <w:marLeft w:val="547"/>
          <w:marRight w:val="0"/>
          <w:marTop w:val="120"/>
          <w:marBottom w:val="120"/>
          <w:divBdr>
            <w:top w:val="none" w:sz="0" w:space="0" w:color="auto"/>
            <w:left w:val="none" w:sz="0" w:space="0" w:color="auto"/>
            <w:bottom w:val="none" w:sz="0" w:space="0" w:color="auto"/>
            <w:right w:val="none" w:sz="0" w:space="0" w:color="auto"/>
          </w:divBdr>
        </w:div>
      </w:divsChild>
    </w:div>
    <w:div w:id="1669627125">
      <w:bodyDiv w:val="1"/>
      <w:marLeft w:val="0"/>
      <w:marRight w:val="0"/>
      <w:marTop w:val="0"/>
      <w:marBottom w:val="0"/>
      <w:divBdr>
        <w:top w:val="none" w:sz="0" w:space="0" w:color="auto"/>
        <w:left w:val="none" w:sz="0" w:space="0" w:color="auto"/>
        <w:bottom w:val="none" w:sz="0" w:space="0" w:color="auto"/>
        <w:right w:val="none" w:sz="0" w:space="0" w:color="auto"/>
      </w:divBdr>
    </w:div>
    <w:div w:id="1794904868">
      <w:bodyDiv w:val="1"/>
      <w:marLeft w:val="0"/>
      <w:marRight w:val="0"/>
      <w:marTop w:val="0"/>
      <w:marBottom w:val="0"/>
      <w:divBdr>
        <w:top w:val="none" w:sz="0" w:space="0" w:color="auto"/>
        <w:left w:val="none" w:sz="0" w:space="0" w:color="auto"/>
        <w:bottom w:val="none" w:sz="0" w:space="0" w:color="auto"/>
        <w:right w:val="none" w:sz="0" w:space="0" w:color="auto"/>
      </w:divBdr>
    </w:div>
    <w:div w:id="1795561138">
      <w:bodyDiv w:val="1"/>
      <w:marLeft w:val="0"/>
      <w:marRight w:val="0"/>
      <w:marTop w:val="0"/>
      <w:marBottom w:val="0"/>
      <w:divBdr>
        <w:top w:val="none" w:sz="0" w:space="0" w:color="auto"/>
        <w:left w:val="none" w:sz="0" w:space="0" w:color="auto"/>
        <w:bottom w:val="none" w:sz="0" w:space="0" w:color="auto"/>
        <w:right w:val="none" w:sz="0" w:space="0" w:color="auto"/>
      </w:divBdr>
    </w:div>
    <w:div w:id="1809057073">
      <w:bodyDiv w:val="1"/>
      <w:marLeft w:val="0"/>
      <w:marRight w:val="0"/>
      <w:marTop w:val="0"/>
      <w:marBottom w:val="0"/>
      <w:divBdr>
        <w:top w:val="none" w:sz="0" w:space="0" w:color="auto"/>
        <w:left w:val="none" w:sz="0" w:space="0" w:color="auto"/>
        <w:bottom w:val="none" w:sz="0" w:space="0" w:color="auto"/>
        <w:right w:val="none" w:sz="0" w:space="0" w:color="auto"/>
      </w:divBdr>
      <w:divsChild>
        <w:div w:id="1314526594">
          <w:marLeft w:val="360"/>
          <w:marRight w:val="0"/>
          <w:marTop w:val="200"/>
          <w:marBottom w:val="0"/>
          <w:divBdr>
            <w:top w:val="none" w:sz="0" w:space="0" w:color="auto"/>
            <w:left w:val="none" w:sz="0" w:space="0" w:color="auto"/>
            <w:bottom w:val="none" w:sz="0" w:space="0" w:color="auto"/>
            <w:right w:val="none" w:sz="0" w:space="0" w:color="auto"/>
          </w:divBdr>
        </w:div>
        <w:div w:id="619577484">
          <w:marLeft w:val="360"/>
          <w:marRight w:val="0"/>
          <w:marTop w:val="200"/>
          <w:marBottom w:val="0"/>
          <w:divBdr>
            <w:top w:val="none" w:sz="0" w:space="0" w:color="auto"/>
            <w:left w:val="none" w:sz="0" w:space="0" w:color="auto"/>
            <w:bottom w:val="none" w:sz="0" w:space="0" w:color="auto"/>
            <w:right w:val="none" w:sz="0" w:space="0" w:color="auto"/>
          </w:divBdr>
        </w:div>
        <w:div w:id="263929576">
          <w:marLeft w:val="1080"/>
          <w:marRight w:val="0"/>
          <w:marTop w:val="100"/>
          <w:marBottom w:val="0"/>
          <w:divBdr>
            <w:top w:val="none" w:sz="0" w:space="0" w:color="auto"/>
            <w:left w:val="none" w:sz="0" w:space="0" w:color="auto"/>
            <w:bottom w:val="none" w:sz="0" w:space="0" w:color="auto"/>
            <w:right w:val="none" w:sz="0" w:space="0" w:color="auto"/>
          </w:divBdr>
        </w:div>
        <w:div w:id="1470170109">
          <w:marLeft w:val="1080"/>
          <w:marRight w:val="0"/>
          <w:marTop w:val="100"/>
          <w:marBottom w:val="0"/>
          <w:divBdr>
            <w:top w:val="none" w:sz="0" w:space="0" w:color="auto"/>
            <w:left w:val="none" w:sz="0" w:space="0" w:color="auto"/>
            <w:bottom w:val="none" w:sz="0" w:space="0" w:color="auto"/>
            <w:right w:val="none" w:sz="0" w:space="0" w:color="auto"/>
          </w:divBdr>
        </w:div>
        <w:div w:id="1067998407">
          <w:marLeft w:val="1080"/>
          <w:marRight w:val="0"/>
          <w:marTop w:val="100"/>
          <w:marBottom w:val="0"/>
          <w:divBdr>
            <w:top w:val="none" w:sz="0" w:space="0" w:color="auto"/>
            <w:left w:val="none" w:sz="0" w:space="0" w:color="auto"/>
            <w:bottom w:val="none" w:sz="0" w:space="0" w:color="auto"/>
            <w:right w:val="none" w:sz="0" w:space="0" w:color="auto"/>
          </w:divBdr>
        </w:div>
        <w:div w:id="2136097194">
          <w:marLeft w:val="1080"/>
          <w:marRight w:val="0"/>
          <w:marTop w:val="100"/>
          <w:marBottom w:val="0"/>
          <w:divBdr>
            <w:top w:val="none" w:sz="0" w:space="0" w:color="auto"/>
            <w:left w:val="none" w:sz="0" w:space="0" w:color="auto"/>
            <w:bottom w:val="none" w:sz="0" w:space="0" w:color="auto"/>
            <w:right w:val="none" w:sz="0" w:space="0" w:color="auto"/>
          </w:divBdr>
        </w:div>
        <w:div w:id="463933018">
          <w:marLeft w:val="360"/>
          <w:marRight w:val="0"/>
          <w:marTop w:val="200"/>
          <w:marBottom w:val="0"/>
          <w:divBdr>
            <w:top w:val="none" w:sz="0" w:space="0" w:color="auto"/>
            <w:left w:val="none" w:sz="0" w:space="0" w:color="auto"/>
            <w:bottom w:val="none" w:sz="0" w:space="0" w:color="auto"/>
            <w:right w:val="none" w:sz="0" w:space="0" w:color="auto"/>
          </w:divBdr>
        </w:div>
        <w:div w:id="456799960">
          <w:marLeft w:val="360"/>
          <w:marRight w:val="0"/>
          <w:marTop w:val="200"/>
          <w:marBottom w:val="0"/>
          <w:divBdr>
            <w:top w:val="none" w:sz="0" w:space="0" w:color="auto"/>
            <w:left w:val="none" w:sz="0" w:space="0" w:color="auto"/>
            <w:bottom w:val="none" w:sz="0" w:space="0" w:color="auto"/>
            <w:right w:val="none" w:sz="0" w:space="0" w:color="auto"/>
          </w:divBdr>
        </w:div>
        <w:div w:id="1258518865">
          <w:marLeft w:val="360"/>
          <w:marRight w:val="0"/>
          <w:marTop w:val="200"/>
          <w:marBottom w:val="0"/>
          <w:divBdr>
            <w:top w:val="none" w:sz="0" w:space="0" w:color="auto"/>
            <w:left w:val="none" w:sz="0" w:space="0" w:color="auto"/>
            <w:bottom w:val="none" w:sz="0" w:space="0" w:color="auto"/>
            <w:right w:val="none" w:sz="0" w:space="0" w:color="auto"/>
          </w:divBdr>
        </w:div>
        <w:div w:id="1697267225">
          <w:marLeft w:val="360"/>
          <w:marRight w:val="0"/>
          <w:marTop w:val="200"/>
          <w:marBottom w:val="0"/>
          <w:divBdr>
            <w:top w:val="none" w:sz="0" w:space="0" w:color="auto"/>
            <w:left w:val="none" w:sz="0" w:space="0" w:color="auto"/>
            <w:bottom w:val="none" w:sz="0" w:space="0" w:color="auto"/>
            <w:right w:val="none" w:sz="0" w:space="0" w:color="auto"/>
          </w:divBdr>
        </w:div>
      </w:divsChild>
    </w:div>
    <w:div w:id="19357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AA25B-EFF8-4889-B1DF-A6E2ABA6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6466</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Kagwanja</dc:creator>
  <cp:keywords/>
  <dc:description/>
  <cp:lastModifiedBy>Mmatlou Alfred Moloto</cp:lastModifiedBy>
  <cp:revision>2</cp:revision>
  <cp:lastPrinted>2017-09-14T16:14:00Z</cp:lastPrinted>
  <dcterms:created xsi:type="dcterms:W3CDTF">2017-10-02T05:07:00Z</dcterms:created>
  <dcterms:modified xsi:type="dcterms:W3CDTF">2017-10-02T05:07:00Z</dcterms:modified>
</cp:coreProperties>
</file>