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806"/>
        <w:tblW w:w="0" w:type="auto"/>
        <w:tblLayout w:type="fixed"/>
        <w:tblLook w:val="0000" w:firstRow="0" w:lastRow="0" w:firstColumn="0" w:lastColumn="0" w:noHBand="0" w:noVBand="0"/>
      </w:tblPr>
      <w:tblGrid>
        <w:gridCol w:w="3504"/>
        <w:gridCol w:w="2326"/>
        <w:gridCol w:w="3619"/>
      </w:tblGrid>
      <w:tr w:rsidR="006F0CE4" w:rsidRPr="0018507F" w:rsidTr="00604672">
        <w:trPr>
          <w:cantSplit/>
          <w:trHeight w:val="620"/>
        </w:trPr>
        <w:tc>
          <w:tcPr>
            <w:tcW w:w="3504" w:type="dxa"/>
            <w:vAlign w:val="center"/>
          </w:tcPr>
          <w:p w:rsidR="006F0CE4" w:rsidRPr="0018507F" w:rsidRDefault="006F0CE4" w:rsidP="00604672">
            <w:pPr>
              <w:pStyle w:val="Heading4"/>
              <w:keepNext w:val="0"/>
              <w:ind w:right="23"/>
              <w:rPr>
                <w:b/>
              </w:rPr>
            </w:pPr>
            <w:r w:rsidRPr="0018507F">
              <w:rPr>
                <w:b/>
              </w:rPr>
              <w:t>AFRICAN UNION</w:t>
            </w:r>
          </w:p>
        </w:tc>
        <w:tc>
          <w:tcPr>
            <w:tcW w:w="2326" w:type="dxa"/>
            <w:vMerge w:val="restart"/>
            <w:vAlign w:val="center"/>
          </w:tcPr>
          <w:p w:rsidR="006F0CE4" w:rsidRPr="0018507F" w:rsidRDefault="006F0CE4" w:rsidP="00604672">
            <w:pPr>
              <w:jc w:val="center"/>
              <w:rPr>
                <w:b/>
                <w:sz w:val="6"/>
              </w:rPr>
            </w:pPr>
          </w:p>
          <w:p w:rsidR="006F0CE4" w:rsidRPr="0018507F" w:rsidRDefault="006F0CE4" w:rsidP="00604672">
            <w:pPr>
              <w:jc w:val="center"/>
              <w:rPr>
                <w:b/>
                <w:sz w:val="8"/>
              </w:rPr>
            </w:pPr>
            <w:r w:rsidRPr="00A12AC2">
              <w:rPr>
                <w:b/>
                <w:noProof/>
              </w:rPr>
              <w:drawing>
                <wp:inline distT="0" distB="0" distL="0" distR="0" wp14:anchorId="660FE913" wp14:editId="0B6D5965">
                  <wp:extent cx="723900" cy="6191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3619" w:type="dxa"/>
            <w:vAlign w:val="center"/>
          </w:tcPr>
          <w:p w:rsidR="006F0CE4" w:rsidRPr="0018507F" w:rsidRDefault="006F0CE4" w:rsidP="00604672">
            <w:pPr>
              <w:pStyle w:val="Heading4"/>
              <w:ind w:right="-27"/>
              <w:rPr>
                <w:b/>
              </w:rPr>
            </w:pPr>
            <w:r w:rsidRPr="0018507F">
              <w:rPr>
                <w:b/>
              </w:rPr>
              <w:t>UNION AFRICAINE</w:t>
            </w:r>
          </w:p>
        </w:tc>
      </w:tr>
      <w:tr w:rsidR="006F0CE4" w:rsidRPr="0018507F" w:rsidTr="00604672">
        <w:trPr>
          <w:cantSplit/>
          <w:trHeight w:val="620"/>
        </w:trPr>
        <w:tc>
          <w:tcPr>
            <w:tcW w:w="3504" w:type="dxa"/>
            <w:tcBorders>
              <w:bottom w:val="single" w:sz="4" w:space="0" w:color="auto"/>
            </w:tcBorders>
            <w:vAlign w:val="center"/>
          </w:tcPr>
          <w:p w:rsidR="006F0CE4" w:rsidRPr="0018507F" w:rsidRDefault="006F0CE4" w:rsidP="00604672">
            <w:pPr>
              <w:jc w:val="center"/>
              <w:rPr>
                <w:b/>
              </w:rPr>
            </w:pPr>
            <w:r w:rsidRPr="0018507F">
              <w:rPr>
                <w:b/>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30.5pt" o:ole="">
                  <v:imagedata r:id="rId8" o:title=""/>
                </v:shape>
                <o:OLEObject Type="Embed" ProgID="PBrush" ShapeID="_x0000_i1025" DrawAspect="Content" ObjectID="_1615998061" r:id="rId9"/>
              </w:object>
            </w:r>
          </w:p>
        </w:tc>
        <w:tc>
          <w:tcPr>
            <w:tcW w:w="2326" w:type="dxa"/>
            <w:vMerge/>
            <w:tcBorders>
              <w:bottom w:val="single" w:sz="4" w:space="0" w:color="auto"/>
            </w:tcBorders>
            <w:vAlign w:val="center"/>
          </w:tcPr>
          <w:p w:rsidR="006F0CE4" w:rsidRPr="0018507F" w:rsidRDefault="006F0CE4" w:rsidP="00604672">
            <w:pPr>
              <w:jc w:val="center"/>
              <w:rPr>
                <w:b/>
              </w:rPr>
            </w:pPr>
          </w:p>
        </w:tc>
        <w:tc>
          <w:tcPr>
            <w:tcW w:w="3619" w:type="dxa"/>
            <w:tcBorders>
              <w:bottom w:val="single" w:sz="4" w:space="0" w:color="auto"/>
            </w:tcBorders>
            <w:vAlign w:val="center"/>
          </w:tcPr>
          <w:p w:rsidR="006F0CE4" w:rsidRPr="0018507F" w:rsidRDefault="006F0CE4" w:rsidP="00604672">
            <w:pPr>
              <w:pStyle w:val="Heading4"/>
              <w:ind w:right="-27"/>
              <w:rPr>
                <w:b/>
              </w:rPr>
            </w:pPr>
            <w:r w:rsidRPr="0018507F">
              <w:rPr>
                <w:b/>
              </w:rPr>
              <w:t>UNIÃO AFRICANA</w:t>
            </w:r>
          </w:p>
        </w:tc>
      </w:tr>
      <w:tr w:rsidR="006F0CE4" w:rsidRPr="0018507F" w:rsidTr="00604672">
        <w:trPr>
          <w:cantSplit/>
          <w:trHeight w:val="498"/>
        </w:trPr>
        <w:tc>
          <w:tcPr>
            <w:tcW w:w="9449" w:type="dxa"/>
            <w:gridSpan w:val="3"/>
            <w:tcBorders>
              <w:top w:val="single" w:sz="4" w:space="0" w:color="auto"/>
              <w:bottom w:val="single" w:sz="4" w:space="0" w:color="auto"/>
            </w:tcBorders>
            <w:vAlign w:val="center"/>
          </w:tcPr>
          <w:p w:rsidR="006F0CE4" w:rsidRPr="0018507F" w:rsidRDefault="006F0CE4" w:rsidP="00604672">
            <w:pPr>
              <w:jc w:val="center"/>
              <w:rPr>
                <w:rFonts w:ascii="Arial" w:hAnsi="Arial" w:cs="Arial"/>
                <w:b/>
                <w:bCs/>
                <w:color w:val="006600"/>
                <w:sz w:val="22"/>
              </w:rPr>
            </w:pPr>
            <w:r w:rsidRPr="0018507F">
              <w:rPr>
                <w:rFonts w:ascii="Arial" w:hAnsi="Arial" w:cs="Arial"/>
                <w:b/>
                <w:bCs/>
                <w:color w:val="006600"/>
                <w:sz w:val="22"/>
              </w:rPr>
              <w:t>P. O. Box 3243, Addis Ababa, ETHIOPIA   Tel.: (251-11) 5182402 Fax: (251-11) 5182400</w:t>
            </w:r>
          </w:p>
          <w:p w:rsidR="006F0CE4" w:rsidRPr="0018507F" w:rsidRDefault="006F0CE4" w:rsidP="00604672">
            <w:pPr>
              <w:jc w:val="center"/>
              <w:rPr>
                <w:rFonts w:ascii="Arial" w:hAnsi="Arial" w:cs="Arial"/>
                <w:b/>
                <w:bCs/>
                <w:sz w:val="22"/>
              </w:rPr>
            </w:pPr>
            <w:r w:rsidRPr="0018507F">
              <w:rPr>
                <w:rFonts w:ascii="Arial" w:hAnsi="Arial" w:cs="Arial"/>
                <w:b/>
                <w:bCs/>
                <w:color w:val="006600"/>
                <w:sz w:val="22"/>
              </w:rPr>
              <w:t>Website: www.au.int</w:t>
            </w:r>
          </w:p>
        </w:tc>
      </w:tr>
    </w:tbl>
    <w:p w:rsidR="006F0CE4" w:rsidRDefault="006F0CE4" w:rsidP="006F0CE4">
      <w:pPr>
        <w:spacing w:after="160" w:line="259" w:lineRule="auto"/>
        <w:rPr>
          <w:b/>
          <w:bCs/>
          <w:szCs w:val="22"/>
          <w:u w:val="single"/>
        </w:rPr>
      </w:pPr>
    </w:p>
    <w:p w:rsidR="006F0CE4" w:rsidRDefault="006F0CE4" w:rsidP="006F0CE4">
      <w:pPr>
        <w:spacing w:after="160" w:line="259" w:lineRule="auto"/>
        <w:jc w:val="right"/>
        <w:rPr>
          <w:rFonts w:ascii="Arial" w:hAnsi="Arial" w:cs="Arial"/>
          <w:b/>
          <w:bCs/>
          <w:sz w:val="18"/>
          <w:szCs w:val="22"/>
        </w:rPr>
      </w:pPr>
    </w:p>
    <w:p w:rsidR="006F0CE4" w:rsidRDefault="006F0CE4" w:rsidP="006F0CE4">
      <w:pPr>
        <w:spacing w:after="160" w:line="259" w:lineRule="auto"/>
        <w:jc w:val="right"/>
        <w:rPr>
          <w:rFonts w:ascii="Arial" w:hAnsi="Arial" w:cs="Arial"/>
          <w:b/>
          <w:bCs/>
          <w:sz w:val="18"/>
          <w:szCs w:val="22"/>
        </w:rPr>
      </w:pPr>
      <w:r w:rsidRPr="00736E50">
        <w:rPr>
          <w:rFonts w:ascii="Arial" w:hAnsi="Arial" w:cs="Arial"/>
          <w:b/>
          <w:bCs/>
          <w:sz w:val="18"/>
          <w:szCs w:val="22"/>
        </w:rPr>
        <w:t>IE</w:t>
      </w:r>
      <w:r>
        <w:rPr>
          <w:noProof/>
          <w:szCs w:val="22"/>
        </w:rPr>
        <mc:AlternateContent>
          <mc:Choice Requires="wps">
            <w:drawing>
              <wp:anchor distT="0" distB="0" distL="114300" distR="114300" simplePos="0" relativeHeight="251660288" behindDoc="0" locked="0" layoutInCell="1" allowOverlap="1" wp14:anchorId="7D0B22D9" wp14:editId="2F44D0A6">
                <wp:simplePos x="0" y="0"/>
                <wp:positionH relativeFrom="margin">
                  <wp:align>left</wp:align>
                </wp:positionH>
                <wp:positionV relativeFrom="paragraph">
                  <wp:posOffset>249848</wp:posOffset>
                </wp:positionV>
                <wp:extent cx="3857625" cy="2388358"/>
                <wp:effectExtent l="0" t="0" r="9525" b="0"/>
                <wp:wrapNone/>
                <wp:docPr id="6" name="Zone de texte 6"/>
                <wp:cNvGraphicFramePr/>
                <a:graphic xmlns:a="http://schemas.openxmlformats.org/drawingml/2006/main">
                  <a:graphicData uri="http://schemas.microsoft.com/office/word/2010/wordprocessingShape">
                    <wps:wsp>
                      <wps:cNvSpPr txBox="1"/>
                      <wps:spPr>
                        <a:xfrm>
                          <a:off x="0" y="0"/>
                          <a:ext cx="3857625" cy="23883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CE4" w:rsidRPr="00736E50" w:rsidRDefault="006F0CE4" w:rsidP="006F0CE4">
                            <w:pPr>
                              <w:rPr>
                                <w:rFonts w:ascii="Arial" w:hAnsi="Arial" w:cs="Arial"/>
                                <w:b/>
                                <w:color w:val="000000"/>
                                <w:sz w:val="28"/>
                                <w:szCs w:val="28"/>
                              </w:rPr>
                            </w:pPr>
                            <w:r w:rsidRPr="00736E50">
                              <w:rPr>
                                <w:rFonts w:ascii="Arial" w:hAnsi="Arial" w:cs="Arial"/>
                                <w:b/>
                                <w:color w:val="000000"/>
                                <w:sz w:val="28"/>
                                <w:szCs w:val="28"/>
                              </w:rPr>
                              <w:t>THE FIRST ORDINARY SESSION OF THE</w:t>
                            </w:r>
                          </w:p>
                          <w:p w:rsidR="006F0CE4" w:rsidRPr="00736E50" w:rsidRDefault="006F0CE4" w:rsidP="006F0CE4">
                            <w:pPr>
                              <w:rPr>
                                <w:rFonts w:ascii="Arial" w:hAnsi="Arial" w:cs="Arial"/>
                                <w:b/>
                                <w:color w:val="000000"/>
                                <w:sz w:val="28"/>
                                <w:szCs w:val="28"/>
                              </w:rPr>
                            </w:pPr>
                            <w:r w:rsidRPr="00736E50">
                              <w:rPr>
                                <w:rFonts w:ascii="Arial" w:hAnsi="Arial" w:cs="Arial"/>
                                <w:b/>
                                <w:color w:val="000000"/>
                                <w:sz w:val="28"/>
                                <w:szCs w:val="28"/>
                              </w:rPr>
                              <w:t xml:space="preserve">AFRICAN UNION SPECIALIZED TECHNICAL </w:t>
                            </w:r>
                          </w:p>
                          <w:p w:rsidR="006F0CE4" w:rsidRPr="00736E50" w:rsidRDefault="006F0CE4" w:rsidP="006F0CE4">
                            <w:pPr>
                              <w:rPr>
                                <w:rFonts w:ascii="Arial" w:hAnsi="Arial" w:cs="Arial"/>
                                <w:b/>
                                <w:color w:val="000000"/>
                                <w:sz w:val="28"/>
                                <w:szCs w:val="28"/>
                              </w:rPr>
                            </w:pPr>
                            <w:r w:rsidRPr="00736E50">
                              <w:rPr>
                                <w:rFonts w:ascii="Arial" w:hAnsi="Arial" w:cs="Arial"/>
                                <w:b/>
                                <w:color w:val="000000"/>
                                <w:sz w:val="28"/>
                                <w:szCs w:val="28"/>
                              </w:rPr>
                              <w:t xml:space="preserve">COMMITTEE ON TRANSPORT, </w:t>
                            </w:r>
                          </w:p>
                          <w:p w:rsidR="006F0CE4" w:rsidRPr="00736E50" w:rsidRDefault="006F0CE4" w:rsidP="006F0CE4">
                            <w:pPr>
                              <w:rPr>
                                <w:rFonts w:ascii="Arial" w:hAnsi="Arial" w:cs="Arial"/>
                                <w:b/>
                                <w:color w:val="000000"/>
                                <w:sz w:val="28"/>
                                <w:szCs w:val="28"/>
                              </w:rPr>
                            </w:pPr>
                            <w:r w:rsidRPr="00736E50">
                              <w:rPr>
                                <w:rFonts w:ascii="Arial" w:hAnsi="Arial" w:cs="Arial"/>
                                <w:b/>
                                <w:color w:val="000000"/>
                                <w:sz w:val="28"/>
                                <w:szCs w:val="28"/>
                              </w:rPr>
                              <w:t xml:space="preserve">TRANSCONTINENTAL AND INTERREGIONAL </w:t>
                            </w:r>
                          </w:p>
                          <w:p w:rsidR="006F0CE4" w:rsidRDefault="006F0CE4" w:rsidP="006F0CE4">
                            <w:pPr>
                              <w:rPr>
                                <w:rFonts w:ascii="Arial" w:eastAsia="Calibri" w:hAnsi="Arial" w:cs="Arial"/>
                                <w:b/>
                                <w:sz w:val="28"/>
                                <w:szCs w:val="28"/>
                              </w:rPr>
                            </w:pPr>
                            <w:r w:rsidRPr="00736E50">
                              <w:rPr>
                                <w:rFonts w:ascii="Arial" w:hAnsi="Arial" w:cs="Arial"/>
                                <w:b/>
                                <w:color w:val="000000"/>
                                <w:sz w:val="28"/>
                                <w:szCs w:val="28"/>
                              </w:rPr>
                              <w:t>INFRASTRUCTURES, ENERGY AND TOURISM (</w:t>
                            </w:r>
                            <w:r w:rsidRPr="00736E50">
                              <w:rPr>
                                <w:rFonts w:ascii="Arial" w:eastAsia="Calibri" w:hAnsi="Arial" w:cs="Arial"/>
                                <w:b/>
                                <w:sz w:val="28"/>
                                <w:szCs w:val="28"/>
                              </w:rPr>
                              <w:t>STC-TTIET)</w:t>
                            </w:r>
                          </w:p>
                          <w:p w:rsidR="006F0CE4" w:rsidRPr="001A7945" w:rsidRDefault="006F0CE4" w:rsidP="006F0CE4">
                            <w:pPr>
                              <w:rPr>
                                <w:rFonts w:ascii="Arial" w:hAnsi="Arial" w:cs="Arial"/>
                                <w:b/>
                                <w:color w:val="000000"/>
                                <w:sz w:val="28"/>
                                <w:szCs w:val="28"/>
                              </w:rPr>
                            </w:pPr>
                            <w:r w:rsidRPr="001A7945">
                              <w:rPr>
                                <w:rFonts w:ascii="Arial" w:hAnsi="Arial" w:cs="Arial"/>
                                <w:b/>
                                <w:color w:val="000000"/>
                                <w:sz w:val="28"/>
                                <w:szCs w:val="28"/>
                              </w:rPr>
                              <w:t>14 – 18 April 2019</w:t>
                            </w:r>
                          </w:p>
                          <w:p w:rsidR="006F0CE4" w:rsidRPr="001A7945" w:rsidRDefault="006F0CE4" w:rsidP="006F0CE4">
                            <w:pPr>
                              <w:rPr>
                                <w:rFonts w:ascii="Arial" w:hAnsi="Arial" w:cs="Arial"/>
                                <w:b/>
                                <w:color w:val="000000"/>
                                <w:sz w:val="28"/>
                                <w:szCs w:val="28"/>
                              </w:rPr>
                            </w:pPr>
                            <w:r w:rsidRPr="001A7945">
                              <w:rPr>
                                <w:rFonts w:ascii="Arial" w:hAnsi="Arial" w:cs="Arial"/>
                                <w:b/>
                                <w:color w:val="000000"/>
                                <w:sz w:val="28"/>
                                <w:szCs w:val="28"/>
                              </w:rPr>
                              <w:t>Cairo, Egypt</w:t>
                            </w:r>
                          </w:p>
                          <w:p w:rsidR="006F0CE4" w:rsidRPr="000C5670" w:rsidRDefault="006F0CE4" w:rsidP="006F0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0B22D9" id="_x0000_t202" coordsize="21600,21600" o:spt="202" path="m,l,21600r21600,l21600,xe">
                <v:stroke joinstyle="miter"/>
                <v:path gradientshapeok="t" o:connecttype="rect"/>
              </v:shapetype>
              <v:shape id="Zone de texte 6" o:spid="_x0000_s1026" type="#_x0000_t202" style="position:absolute;left:0;text-align:left;margin-left:0;margin-top:19.65pt;width:303.75pt;height:188.0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" fillcolor="white [3201]" stroked="f" strokeweight=".5pt">
                <v:textbox>
                  <w:txbxContent>
                    <w:p w:rsidR="006F0CE4" w:rsidRPr="00736E50" w:rsidRDefault="006F0CE4" w:rsidP="006F0CE4">
                      <w:pPr>
                        <w:rPr>
                          <w:rFonts w:ascii="Arial" w:hAnsi="Arial" w:cs="Arial"/>
                          <w:b/>
                          <w:color w:val="000000"/>
                          <w:sz w:val="28"/>
                          <w:szCs w:val="28"/>
                        </w:rPr>
                      </w:pPr>
                      <w:r w:rsidRPr="00736E50">
                        <w:rPr>
                          <w:rFonts w:ascii="Arial" w:hAnsi="Arial" w:cs="Arial"/>
                          <w:b/>
                          <w:color w:val="000000"/>
                          <w:sz w:val="28"/>
                          <w:szCs w:val="28"/>
                        </w:rPr>
                        <w:t>THE FIRST ORDINARY SESSION OF THE</w:t>
                      </w:r>
                    </w:p>
                    <w:p w:rsidR="006F0CE4" w:rsidRPr="00736E50" w:rsidRDefault="006F0CE4" w:rsidP="006F0CE4">
                      <w:pPr>
                        <w:rPr>
                          <w:rFonts w:ascii="Arial" w:hAnsi="Arial" w:cs="Arial"/>
                          <w:b/>
                          <w:color w:val="000000"/>
                          <w:sz w:val="28"/>
                          <w:szCs w:val="28"/>
                        </w:rPr>
                      </w:pPr>
                      <w:r w:rsidRPr="00736E50">
                        <w:rPr>
                          <w:rFonts w:ascii="Arial" w:hAnsi="Arial" w:cs="Arial"/>
                          <w:b/>
                          <w:color w:val="000000"/>
                          <w:sz w:val="28"/>
                          <w:szCs w:val="28"/>
                        </w:rPr>
                        <w:t xml:space="preserve">AFRICAN UNION SPECIALIZED TECHNICAL </w:t>
                      </w:r>
                    </w:p>
                    <w:p w:rsidR="006F0CE4" w:rsidRPr="00736E50" w:rsidRDefault="006F0CE4" w:rsidP="006F0CE4">
                      <w:pPr>
                        <w:rPr>
                          <w:rFonts w:ascii="Arial" w:hAnsi="Arial" w:cs="Arial"/>
                          <w:b/>
                          <w:color w:val="000000"/>
                          <w:sz w:val="28"/>
                          <w:szCs w:val="28"/>
                        </w:rPr>
                      </w:pPr>
                      <w:r w:rsidRPr="00736E50">
                        <w:rPr>
                          <w:rFonts w:ascii="Arial" w:hAnsi="Arial" w:cs="Arial"/>
                          <w:b/>
                          <w:color w:val="000000"/>
                          <w:sz w:val="28"/>
                          <w:szCs w:val="28"/>
                        </w:rPr>
                        <w:t xml:space="preserve">COMMITTEE ON TRANSPORT, </w:t>
                      </w:r>
                    </w:p>
                    <w:p w:rsidR="006F0CE4" w:rsidRPr="00736E50" w:rsidRDefault="006F0CE4" w:rsidP="006F0CE4">
                      <w:pPr>
                        <w:rPr>
                          <w:rFonts w:ascii="Arial" w:hAnsi="Arial" w:cs="Arial"/>
                          <w:b/>
                          <w:color w:val="000000"/>
                          <w:sz w:val="28"/>
                          <w:szCs w:val="28"/>
                        </w:rPr>
                      </w:pPr>
                      <w:r w:rsidRPr="00736E50">
                        <w:rPr>
                          <w:rFonts w:ascii="Arial" w:hAnsi="Arial" w:cs="Arial"/>
                          <w:b/>
                          <w:color w:val="000000"/>
                          <w:sz w:val="28"/>
                          <w:szCs w:val="28"/>
                        </w:rPr>
                        <w:t xml:space="preserve">TRANSCONTINENTAL AND INTERREGIONAL </w:t>
                      </w:r>
                    </w:p>
                    <w:p w:rsidR="006F0CE4" w:rsidRDefault="006F0CE4" w:rsidP="006F0CE4">
                      <w:pPr>
                        <w:rPr>
                          <w:rFonts w:ascii="Arial" w:eastAsia="Calibri" w:hAnsi="Arial" w:cs="Arial"/>
                          <w:b/>
                          <w:sz w:val="28"/>
                          <w:szCs w:val="28"/>
                        </w:rPr>
                      </w:pPr>
                      <w:r w:rsidRPr="00736E50">
                        <w:rPr>
                          <w:rFonts w:ascii="Arial" w:hAnsi="Arial" w:cs="Arial"/>
                          <w:b/>
                          <w:color w:val="000000"/>
                          <w:sz w:val="28"/>
                          <w:szCs w:val="28"/>
                        </w:rPr>
                        <w:t>INFRASTRUCTURES, ENERGY AND TOURISM (</w:t>
                      </w:r>
                      <w:r w:rsidRPr="00736E50">
                        <w:rPr>
                          <w:rFonts w:ascii="Arial" w:eastAsia="Calibri" w:hAnsi="Arial" w:cs="Arial"/>
                          <w:b/>
                          <w:sz w:val="28"/>
                          <w:szCs w:val="28"/>
                        </w:rPr>
                        <w:t>STC-TTIET)</w:t>
                      </w:r>
                    </w:p>
                    <w:p w:rsidR="006F0CE4" w:rsidRPr="001A7945" w:rsidRDefault="006F0CE4" w:rsidP="006F0CE4">
                      <w:pPr>
                        <w:rPr>
                          <w:rFonts w:ascii="Arial" w:hAnsi="Arial" w:cs="Arial"/>
                          <w:b/>
                          <w:color w:val="000000"/>
                          <w:sz w:val="28"/>
                          <w:szCs w:val="28"/>
                        </w:rPr>
                      </w:pPr>
                      <w:r w:rsidRPr="001A7945">
                        <w:rPr>
                          <w:rFonts w:ascii="Arial" w:hAnsi="Arial" w:cs="Arial"/>
                          <w:b/>
                          <w:color w:val="000000"/>
                          <w:sz w:val="28"/>
                          <w:szCs w:val="28"/>
                        </w:rPr>
                        <w:t>14 – 18 April 2019</w:t>
                      </w:r>
                    </w:p>
                    <w:p w:rsidR="006F0CE4" w:rsidRPr="001A7945" w:rsidRDefault="006F0CE4" w:rsidP="006F0CE4">
                      <w:pPr>
                        <w:rPr>
                          <w:rFonts w:ascii="Arial" w:hAnsi="Arial" w:cs="Arial"/>
                          <w:b/>
                          <w:color w:val="000000"/>
                          <w:sz w:val="28"/>
                          <w:szCs w:val="28"/>
                        </w:rPr>
                      </w:pPr>
                      <w:r w:rsidRPr="001A7945">
                        <w:rPr>
                          <w:rFonts w:ascii="Arial" w:hAnsi="Arial" w:cs="Arial"/>
                          <w:b/>
                          <w:color w:val="000000"/>
                          <w:sz w:val="28"/>
                          <w:szCs w:val="28"/>
                        </w:rPr>
                        <w:t>Cairo, Egypt</w:t>
                      </w:r>
                    </w:p>
                    <w:p w:rsidR="006F0CE4" w:rsidRPr="000C5670" w:rsidRDefault="006F0CE4" w:rsidP="006F0CE4"/>
                  </w:txbxContent>
                </v:textbox>
                <w10:wrap anchorx="margin"/>
              </v:shape>
            </w:pict>
          </mc:Fallback>
        </mc:AlternateContent>
      </w:r>
      <w:r w:rsidR="006052A4">
        <w:rPr>
          <w:rFonts w:ascii="Arial" w:hAnsi="Arial" w:cs="Arial"/>
          <w:b/>
          <w:bCs/>
          <w:sz w:val="18"/>
          <w:szCs w:val="22"/>
        </w:rPr>
        <w:t>24288</w:t>
      </w:r>
    </w:p>
    <w:p w:rsidR="006F0CE4" w:rsidRPr="00ED26AB" w:rsidRDefault="00F33FB3" w:rsidP="006F0CE4">
      <w:pPr>
        <w:spacing w:after="160" w:line="259" w:lineRule="auto"/>
        <w:jc w:val="right"/>
        <w:rPr>
          <w:rFonts w:ascii="Arial" w:hAnsi="Arial" w:cs="Arial"/>
          <w:b/>
          <w:bCs/>
          <w:szCs w:val="22"/>
        </w:rPr>
      </w:pPr>
      <w:r w:rsidRPr="00C22563">
        <w:rPr>
          <w:noProof/>
          <w:szCs w:val="22"/>
        </w:rPr>
        <mc:AlternateContent>
          <mc:Choice Requires="wps">
            <w:drawing>
              <wp:anchor distT="0" distB="0" distL="114300" distR="114300" simplePos="0" relativeHeight="251659264" behindDoc="0" locked="0" layoutInCell="1" allowOverlap="1" wp14:anchorId="5631762A" wp14:editId="428F0FFC">
                <wp:simplePos x="0" y="0"/>
                <wp:positionH relativeFrom="margin">
                  <wp:align>center</wp:align>
                </wp:positionH>
                <wp:positionV relativeFrom="paragraph">
                  <wp:posOffset>2943082</wp:posOffset>
                </wp:positionV>
                <wp:extent cx="3743325" cy="2752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743325" cy="2752725"/>
                        </a:xfrm>
                        <a:prstGeom prst="rect">
                          <a:avLst/>
                        </a:prstGeom>
                        <a:solidFill>
                          <a:sysClr val="window" lastClr="FFFFFF"/>
                        </a:solidFill>
                        <a:ln w="6350">
                          <a:solidFill>
                            <a:schemeClr val="bg1"/>
                          </a:solidFill>
                        </a:ln>
                        <a:effectLst/>
                      </wps:spPr>
                      <wps:txbx>
                        <w:txbxContent>
                          <w:p w:rsidR="006F0CE4" w:rsidRDefault="006F0CE4" w:rsidP="006F0CE4">
                            <w:pPr>
                              <w:jc w:val="center"/>
                              <w:rPr>
                                <w:sz w:val="28"/>
                                <w:szCs w:val="22"/>
                                <w:highlight w:val="cyan"/>
                              </w:rPr>
                            </w:pPr>
                          </w:p>
                          <w:p w:rsidR="006F0CE4" w:rsidRDefault="00F33FB3" w:rsidP="006F0CE4">
                            <w:pPr>
                              <w:jc w:val="center"/>
                              <w:rPr>
                                <w:rFonts w:ascii="Arial" w:hAnsi="Arial" w:cs="Arial"/>
                                <w:b/>
                                <w:sz w:val="28"/>
                                <w:szCs w:val="22"/>
                              </w:rPr>
                            </w:pPr>
                            <w:r w:rsidRPr="00F33FB3">
                              <w:rPr>
                                <w:rFonts w:ascii="Arial" w:hAnsi="Arial" w:cs="Arial"/>
                                <w:b/>
                                <w:sz w:val="28"/>
                                <w:szCs w:val="22"/>
                              </w:rPr>
                              <w:t>CONTINENTAL TRANSMISSION TARIFF METHODOLOGY FOR INTERNATIONAL BILATERAL TRANSACTIONS</w:t>
                            </w:r>
                          </w:p>
                          <w:p w:rsidR="00F33FB3" w:rsidRDefault="00F33FB3" w:rsidP="006F0CE4">
                            <w:pPr>
                              <w:jc w:val="center"/>
                              <w:rPr>
                                <w:rFonts w:ascii="Arial" w:hAnsi="Arial" w:cs="Arial"/>
                                <w:b/>
                                <w:sz w:val="28"/>
                                <w:szCs w:val="22"/>
                              </w:rPr>
                            </w:pPr>
                          </w:p>
                          <w:p w:rsidR="00F33FB3" w:rsidRDefault="00F33FB3" w:rsidP="006F0CE4">
                            <w:pPr>
                              <w:jc w:val="center"/>
                              <w:rPr>
                                <w:rFonts w:ascii="Arial" w:hAnsi="Arial" w:cs="Arial"/>
                                <w:b/>
                                <w:sz w:val="28"/>
                                <w:szCs w:val="22"/>
                              </w:rPr>
                            </w:pPr>
                            <w:r w:rsidRPr="00F33FB3">
                              <w:rPr>
                                <w:rFonts w:ascii="Arial" w:hAnsi="Arial" w:cs="Arial"/>
                                <w:b/>
                                <w:sz w:val="28"/>
                                <w:szCs w:val="22"/>
                              </w:rPr>
                              <w:t>THEME:</w:t>
                            </w:r>
                            <w:r w:rsidRPr="00F33FB3">
                              <w:rPr>
                                <w:rFonts w:ascii="Arial" w:hAnsi="Arial" w:cs="Arial"/>
                                <w:b/>
                                <w:sz w:val="28"/>
                                <w:szCs w:val="22"/>
                              </w:rPr>
                              <w:tab/>
                              <w:t>DEVELOPING SMART INFRASTRUCTURE TO BOOST AFRICA’S CONTINENTAL TRANSFORMATION AND INTEGRATION</w:t>
                            </w:r>
                          </w:p>
                          <w:p w:rsidR="00F33FB3" w:rsidRDefault="00F33FB3" w:rsidP="006F0CE4">
                            <w:pPr>
                              <w:jc w:val="center"/>
                              <w:rPr>
                                <w:rFonts w:ascii="Arial" w:hAnsi="Arial" w:cs="Arial"/>
                                <w:b/>
                                <w:sz w:val="28"/>
                                <w:szCs w:val="22"/>
                              </w:rPr>
                            </w:pPr>
                          </w:p>
                          <w:p w:rsidR="006F0CE4" w:rsidRPr="00C813F8" w:rsidRDefault="006E1A7E" w:rsidP="006F0CE4">
                            <w:pPr>
                              <w:jc w:val="center"/>
                              <w:rPr>
                                <w:sz w:val="28"/>
                                <w:szCs w:val="28"/>
                              </w:rPr>
                            </w:pPr>
                            <w:r w:rsidRPr="006F0CE4">
                              <w:rPr>
                                <w:rFonts w:ascii="Arial" w:hAnsi="Arial" w:cs="Arial"/>
                                <w:b/>
                                <w:sz w:val="28"/>
                                <w:szCs w:val="28"/>
                              </w:rPr>
                              <w:t>TECHNICAL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BC501" id="Text Box 4" o:spid="_x0000_s1027" type="#_x0000_t202" style="position:absolute;left:0;text-align:left;margin-left:0;margin-top:231.75pt;width:294.75pt;height:216.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" fillcolor="window" strokecolor="white [3212]" strokeweight=".5pt">
                <v:textbox>
                  <w:txbxContent>
                    <w:p w:rsidR="006F0CE4" w:rsidRDefault="006F0CE4" w:rsidP="006F0CE4">
                      <w:pPr>
                        <w:jc w:val="center"/>
                        <w:rPr>
                          <w:sz w:val="28"/>
                          <w:szCs w:val="22"/>
                          <w:highlight w:val="cyan"/>
                        </w:rPr>
                      </w:pPr>
                    </w:p>
                    <w:p w:rsidR="006F0CE4" w:rsidRDefault="00F33FB3" w:rsidP="006F0CE4">
                      <w:pPr>
                        <w:jc w:val="center"/>
                        <w:rPr>
                          <w:rFonts w:ascii="Arial" w:hAnsi="Arial" w:cs="Arial"/>
                          <w:b/>
                          <w:sz w:val="28"/>
                          <w:szCs w:val="22"/>
                        </w:rPr>
                      </w:pPr>
                      <w:r w:rsidRPr="00F33FB3">
                        <w:rPr>
                          <w:rFonts w:ascii="Arial" w:hAnsi="Arial" w:cs="Arial"/>
                          <w:b/>
                          <w:sz w:val="28"/>
                          <w:szCs w:val="22"/>
                        </w:rPr>
                        <w:t>CONTINENTAL TRANSMISSION TARIFF METHODOLOGY FOR INTERNATIONAL BILATERAL TRANSACTIONS</w:t>
                      </w:r>
                    </w:p>
                    <w:p w:rsidR="00F33FB3" w:rsidRDefault="00F33FB3" w:rsidP="006F0CE4">
                      <w:pPr>
                        <w:jc w:val="center"/>
                        <w:rPr>
                          <w:rFonts w:ascii="Arial" w:hAnsi="Arial" w:cs="Arial"/>
                          <w:b/>
                          <w:sz w:val="28"/>
                          <w:szCs w:val="22"/>
                        </w:rPr>
                      </w:pPr>
                    </w:p>
                    <w:p w:rsidR="00F33FB3" w:rsidRDefault="00F33FB3" w:rsidP="006F0CE4">
                      <w:pPr>
                        <w:jc w:val="center"/>
                        <w:rPr>
                          <w:rFonts w:ascii="Arial" w:hAnsi="Arial" w:cs="Arial"/>
                          <w:b/>
                          <w:sz w:val="28"/>
                          <w:szCs w:val="22"/>
                        </w:rPr>
                      </w:pPr>
                      <w:r w:rsidRPr="00F33FB3">
                        <w:rPr>
                          <w:rFonts w:ascii="Arial" w:hAnsi="Arial" w:cs="Arial"/>
                          <w:b/>
                          <w:sz w:val="28"/>
                          <w:szCs w:val="22"/>
                        </w:rPr>
                        <w:t>THEME:</w:t>
                      </w:r>
                      <w:r w:rsidRPr="00F33FB3">
                        <w:rPr>
                          <w:rFonts w:ascii="Arial" w:hAnsi="Arial" w:cs="Arial"/>
                          <w:b/>
                          <w:sz w:val="28"/>
                          <w:szCs w:val="22"/>
                        </w:rPr>
                        <w:tab/>
                        <w:t>DEVELOPING SMART INFRASTRUCTURE TO BOOST AFRICA’S CONTINENTAL TRANSFORMATION AND INTEGRATION</w:t>
                      </w:r>
                    </w:p>
                    <w:p w:rsidR="00F33FB3" w:rsidRDefault="00F33FB3" w:rsidP="006F0CE4">
                      <w:pPr>
                        <w:jc w:val="center"/>
                        <w:rPr>
                          <w:rFonts w:ascii="Arial" w:hAnsi="Arial" w:cs="Arial"/>
                          <w:b/>
                          <w:sz w:val="28"/>
                          <w:szCs w:val="22"/>
                        </w:rPr>
                      </w:pPr>
                    </w:p>
                    <w:p w:rsidR="006F0CE4" w:rsidRPr="00C813F8" w:rsidRDefault="006E1A7E" w:rsidP="006F0CE4">
                      <w:pPr>
                        <w:jc w:val="center"/>
                        <w:rPr>
                          <w:sz w:val="28"/>
                          <w:szCs w:val="28"/>
                        </w:rPr>
                      </w:pPr>
                      <w:r w:rsidRPr="006F0CE4">
                        <w:rPr>
                          <w:rFonts w:ascii="Arial" w:hAnsi="Arial" w:cs="Arial"/>
                          <w:b/>
                          <w:sz w:val="28"/>
                          <w:szCs w:val="28"/>
                        </w:rPr>
                        <w:t>TECHNICAL PAPER</w:t>
                      </w:r>
                    </w:p>
                  </w:txbxContent>
                </v:textbox>
                <w10:wrap anchorx="margin"/>
              </v:shape>
            </w:pict>
          </mc:Fallback>
        </mc:AlternateContent>
      </w:r>
      <w:r w:rsidR="006F0CE4" w:rsidRPr="00736E50">
        <w:rPr>
          <w:rFonts w:ascii="Arial" w:hAnsi="Arial" w:cs="Arial"/>
          <w:b/>
          <w:bCs/>
          <w:szCs w:val="22"/>
        </w:rPr>
        <w:br w:type="page"/>
      </w:r>
    </w:p>
    <w:p w:rsidR="006F0CE4" w:rsidRDefault="006F0CE4" w:rsidP="006F0CE4">
      <w:pPr>
        <w:spacing w:after="160" w:line="259" w:lineRule="auto"/>
        <w:ind w:left="5760" w:firstLine="720"/>
        <w:jc w:val="center"/>
        <w:rPr>
          <w:rFonts w:ascii="Arial" w:eastAsia="Calibri" w:hAnsi="Arial" w:cs="Arial"/>
          <w:sz w:val="28"/>
          <w:szCs w:val="28"/>
        </w:rPr>
        <w:sectPr w:rsidR="006F0CE4" w:rsidSect="00D2453D">
          <w:headerReference w:type="default" r:id="rId10"/>
          <w:pgSz w:w="11906" w:h="16838"/>
          <w:pgMar w:top="1417" w:right="1417" w:bottom="1134" w:left="1417" w:header="1440" w:footer="1440" w:gutter="0"/>
          <w:pgNumType w:start="1"/>
          <w:cols w:space="720"/>
          <w:titlePg/>
          <w:docGrid w:linePitch="360"/>
        </w:sectPr>
      </w:pPr>
    </w:p>
    <w:p w:rsidR="00F33FB3" w:rsidRPr="00F33FB3" w:rsidRDefault="00F33FB3" w:rsidP="00F33FB3">
      <w:pPr>
        <w:pStyle w:val="ListParagraph"/>
        <w:keepNext/>
        <w:keepLines/>
        <w:numPr>
          <w:ilvl w:val="0"/>
          <w:numId w:val="11"/>
        </w:numPr>
        <w:spacing w:before="240" w:after="40"/>
        <w:ind w:left="567" w:hanging="567"/>
        <w:jc w:val="both"/>
        <w:outlineLvl w:val="1"/>
        <w:rPr>
          <w:rFonts w:ascii="Arial" w:eastAsia="SimSun" w:hAnsi="Arial" w:cs="Arial"/>
          <w:b/>
          <w:bCs/>
        </w:rPr>
      </w:pPr>
      <w:bookmarkStart w:id="0" w:name="ExecSummPage"/>
      <w:r w:rsidRPr="00F33FB3">
        <w:rPr>
          <w:rFonts w:ascii="Arial" w:eastAsia="SimSun" w:hAnsi="Arial" w:cs="Arial"/>
          <w:b/>
          <w:bCs/>
        </w:rPr>
        <w:lastRenderedPageBreak/>
        <w:t>Background</w:t>
      </w:r>
    </w:p>
    <w:p w:rsidR="00F33FB3" w:rsidRPr="00F33FB3" w:rsidRDefault="00F33FB3" w:rsidP="00F33FB3">
      <w:pPr>
        <w:spacing w:after="120"/>
        <w:jc w:val="both"/>
        <w:rPr>
          <w:rFonts w:ascii="Arial" w:eastAsia="Calibri" w:hAnsi="Arial" w:cs="Arial"/>
        </w:rPr>
      </w:pPr>
      <w:r w:rsidRPr="00F33FB3">
        <w:rPr>
          <w:rFonts w:ascii="Arial" w:eastAsia="Calibri" w:hAnsi="Arial" w:cs="Arial"/>
        </w:rPr>
        <w:t xml:space="preserve">The African Union Commission’s Department of Infrastructure and Energy in collaboration with the EU Technical Assistance Facility (TAF), developed and validated the Strategy and Action Plan for a </w:t>
      </w:r>
      <w:r w:rsidR="000D0807" w:rsidRPr="00F33FB3">
        <w:rPr>
          <w:rFonts w:ascii="Arial" w:eastAsia="Calibri" w:hAnsi="Arial" w:cs="Arial"/>
        </w:rPr>
        <w:t>Harmonized</w:t>
      </w:r>
      <w:r w:rsidRPr="00F33FB3">
        <w:rPr>
          <w:rFonts w:ascii="Arial" w:eastAsia="Calibri" w:hAnsi="Arial" w:cs="Arial"/>
        </w:rPr>
        <w:t xml:space="preserve"> Regulatory Framework for the Electricity Market in Africa. The Strategy and Action Plans were aimed at accelerating the process of integrating and </w:t>
      </w:r>
      <w:r w:rsidR="000D0807" w:rsidRPr="00F33FB3">
        <w:rPr>
          <w:rFonts w:ascii="Arial" w:eastAsia="Calibri" w:hAnsi="Arial" w:cs="Arial"/>
        </w:rPr>
        <w:t>harmonizing</w:t>
      </w:r>
      <w:r w:rsidRPr="00F33FB3">
        <w:rPr>
          <w:rFonts w:ascii="Arial" w:eastAsia="Calibri" w:hAnsi="Arial" w:cs="Arial"/>
        </w:rPr>
        <w:t xml:space="preserve"> continental and regional electricity markets in Africa. Both documents went through extensive stakeholder consultation and validation processes. The Strategy and Action Plan were adopted by the </w:t>
      </w:r>
      <w:r w:rsidR="000D0807" w:rsidRPr="00F33FB3">
        <w:rPr>
          <w:rFonts w:ascii="Arial" w:eastAsia="Calibri" w:hAnsi="Arial" w:cs="Arial"/>
        </w:rPr>
        <w:t>Specialized</w:t>
      </w:r>
      <w:r w:rsidRPr="00F33FB3">
        <w:rPr>
          <w:rFonts w:ascii="Arial" w:eastAsia="Calibri" w:hAnsi="Arial" w:cs="Arial"/>
        </w:rPr>
        <w:t xml:space="preserve"> Technical Committee (STC) on Transport, Transcontinental and Interregional Infrastructure, Energy and Tourism (STC-TTIIET) in </w:t>
      </w:r>
      <w:proofErr w:type="spellStart"/>
      <w:r w:rsidRPr="00F33FB3">
        <w:rPr>
          <w:rFonts w:ascii="Arial" w:eastAsia="Calibri" w:hAnsi="Arial" w:cs="Arial"/>
        </w:rPr>
        <w:t>Lomé</w:t>
      </w:r>
      <w:proofErr w:type="spellEnd"/>
      <w:r w:rsidRPr="00F33FB3">
        <w:rPr>
          <w:rFonts w:ascii="Arial" w:eastAsia="Calibri" w:hAnsi="Arial" w:cs="Arial"/>
        </w:rPr>
        <w:t>, Togo on 17 March 2017 and by the Executive Council at its 31st Ordinary Session held on 27 June – 1 July 2017 in Addis Ababa, Ethiopia (Doc. EX.CL/1024(XXXI))</w:t>
      </w:r>
    </w:p>
    <w:p w:rsidR="00F33FB3" w:rsidRPr="00F33FB3" w:rsidRDefault="00F33FB3" w:rsidP="00F33FB3">
      <w:pPr>
        <w:contextualSpacing/>
        <w:jc w:val="both"/>
        <w:rPr>
          <w:rFonts w:ascii="Arial" w:eastAsia="Calibri" w:hAnsi="Arial" w:cs="Arial"/>
        </w:rPr>
      </w:pPr>
      <w:r w:rsidRPr="00F33FB3">
        <w:rPr>
          <w:rFonts w:ascii="Arial" w:eastAsia="Calibri" w:hAnsi="Arial" w:cs="Arial"/>
        </w:rPr>
        <w:t>One of the key outcomes was the reco</w:t>
      </w:r>
      <w:bookmarkStart w:id="1" w:name="_GoBack"/>
      <w:bookmarkEnd w:id="1"/>
      <w:r w:rsidRPr="00F33FB3">
        <w:rPr>
          <w:rFonts w:ascii="Arial" w:eastAsia="Calibri" w:hAnsi="Arial" w:cs="Arial"/>
        </w:rPr>
        <w:t xml:space="preserve">mmendation to </w:t>
      </w:r>
      <w:r w:rsidRPr="00F33FB3">
        <w:rPr>
          <w:rFonts w:ascii="Arial" w:eastAsia="Calibri" w:hAnsi="Arial" w:cs="Arial"/>
          <w:i/>
        </w:rPr>
        <w:t xml:space="preserve">develop a Harmonized Transmission System Tariff Methodology to promote cross-border electricity trade in Africa. </w:t>
      </w:r>
      <w:r w:rsidRPr="00F33FB3">
        <w:rPr>
          <w:rFonts w:ascii="Arial" w:eastAsia="Calibri" w:hAnsi="Arial" w:cs="Arial"/>
        </w:rPr>
        <w:t>The</w:t>
      </w:r>
      <w:r w:rsidRPr="00F33FB3">
        <w:rPr>
          <w:rFonts w:ascii="Arial" w:eastAsia="Calibri" w:hAnsi="Arial" w:cs="Arial"/>
          <w:i/>
        </w:rPr>
        <w:t xml:space="preserve"> </w:t>
      </w:r>
      <w:r w:rsidRPr="00F33FB3">
        <w:rPr>
          <w:rFonts w:ascii="Arial" w:hAnsi="Arial" w:cs="Arial"/>
        </w:rPr>
        <w:t xml:space="preserve">African Union Commission (AUC) in collaboration with EU TAF, in consultation with stakeholders, </w:t>
      </w:r>
      <w:r w:rsidR="000D0807" w:rsidRPr="00F33FB3">
        <w:rPr>
          <w:rFonts w:ascii="Arial" w:hAnsi="Arial" w:cs="Arial"/>
        </w:rPr>
        <w:t>analyzed</w:t>
      </w:r>
      <w:r w:rsidRPr="00F33FB3">
        <w:rPr>
          <w:rFonts w:ascii="Arial" w:hAnsi="Arial" w:cs="Arial"/>
        </w:rPr>
        <w:t xml:space="preserve"> various transmission system tariff models applied in different parts of the world and ranked them for suitability in the African context. </w:t>
      </w:r>
      <w:r w:rsidRPr="00F33FB3">
        <w:rPr>
          <w:rFonts w:ascii="Arial" w:eastAsia="Calibri" w:hAnsi="Arial" w:cs="Arial"/>
        </w:rPr>
        <w:t>The Continental Transmission System Tariff Methodology, Guidelines and Monitoring Plan was subsequently developed and adopted by the Energy Sub-Committee of the STC-TTIIET at its meeting held on 21 - 23 March 2018 in Nouakchott, Mauritania. It was recommended that the adopted Transmission Tariff approach should be piloted in selected power pools, to test the robustness and efficacy of the methodology and the tariff model, before full scale implementation.</w:t>
      </w:r>
    </w:p>
    <w:p w:rsidR="00F33FB3" w:rsidRPr="00F33FB3" w:rsidRDefault="00F33FB3" w:rsidP="00F33FB3">
      <w:pPr>
        <w:pStyle w:val="ListParagraph"/>
        <w:keepNext/>
        <w:keepLines/>
        <w:numPr>
          <w:ilvl w:val="0"/>
          <w:numId w:val="11"/>
        </w:numPr>
        <w:spacing w:before="240" w:after="40"/>
        <w:ind w:left="562" w:hanging="562"/>
        <w:contextualSpacing w:val="0"/>
        <w:jc w:val="both"/>
        <w:outlineLvl w:val="1"/>
        <w:rPr>
          <w:rFonts w:ascii="Arial" w:eastAsia="SimSun" w:hAnsi="Arial" w:cs="Arial"/>
          <w:b/>
          <w:bCs/>
        </w:rPr>
      </w:pPr>
      <w:r w:rsidRPr="00F33FB3">
        <w:rPr>
          <w:rFonts w:ascii="Arial" w:eastAsia="SimSun" w:hAnsi="Arial" w:cs="Arial"/>
          <w:b/>
          <w:bCs/>
        </w:rPr>
        <w:t>Project Objective and Scope</w:t>
      </w:r>
    </w:p>
    <w:p w:rsidR="00F33FB3" w:rsidRPr="00F33FB3" w:rsidRDefault="00F33FB3" w:rsidP="00F33FB3">
      <w:pPr>
        <w:jc w:val="both"/>
        <w:rPr>
          <w:rFonts w:ascii="Arial" w:eastAsia="Calibri" w:hAnsi="Arial" w:cs="Arial"/>
          <w:bCs/>
        </w:rPr>
      </w:pPr>
      <w:r w:rsidRPr="00F33FB3">
        <w:rPr>
          <w:rFonts w:ascii="Arial" w:eastAsia="Calibri" w:hAnsi="Arial" w:cs="Arial"/>
        </w:rPr>
        <w:t>The overall objective is to develop a Continental Transmission Tariff Methodology that is expected to catalyze the establishment of a harmonized and integrated competitive electricity market, by ensuring the coordination of transmission tariff methodology and structures. It will also eliminates the problem of transmission tariff “pancaking” whereby cross border power exchanges are subjected to a number of tariffs which do not reflect the actual cost of assets used for the transmission transactions.</w:t>
      </w:r>
    </w:p>
    <w:p w:rsidR="00F33FB3" w:rsidRPr="00F33FB3" w:rsidRDefault="00F33FB3" w:rsidP="00F33FB3">
      <w:pPr>
        <w:pStyle w:val="ListParagraph"/>
        <w:keepNext/>
        <w:keepLines/>
        <w:numPr>
          <w:ilvl w:val="0"/>
          <w:numId w:val="11"/>
        </w:numPr>
        <w:spacing w:before="240" w:after="40"/>
        <w:ind w:left="562" w:hanging="562"/>
        <w:jc w:val="both"/>
        <w:outlineLvl w:val="1"/>
        <w:rPr>
          <w:rFonts w:ascii="Arial" w:eastAsia="SimSun" w:hAnsi="Arial" w:cs="Arial"/>
          <w:b/>
          <w:bCs/>
        </w:rPr>
      </w:pPr>
      <w:r w:rsidRPr="00F33FB3">
        <w:rPr>
          <w:rFonts w:ascii="Arial" w:eastAsia="SimSun" w:hAnsi="Arial" w:cs="Arial"/>
          <w:b/>
          <w:bCs/>
        </w:rPr>
        <w:t>Methodology for Selection of Continental Transmission Tariff Methodology</w:t>
      </w:r>
    </w:p>
    <w:p w:rsidR="00F33FB3" w:rsidRPr="00F33FB3" w:rsidRDefault="00F33FB3" w:rsidP="00F33FB3">
      <w:pPr>
        <w:jc w:val="both"/>
        <w:rPr>
          <w:rFonts w:ascii="Arial" w:eastAsia="Calibri" w:hAnsi="Arial" w:cs="Arial"/>
        </w:rPr>
      </w:pPr>
      <w:r w:rsidRPr="00F33FB3">
        <w:rPr>
          <w:rFonts w:ascii="Arial" w:eastAsia="Calibri" w:hAnsi="Arial" w:cs="Arial"/>
        </w:rPr>
        <w:t xml:space="preserve">Based on the review of standard transmission tariff models used in the industry, as well as stakeholders’ feedback from the </w:t>
      </w:r>
      <w:r w:rsidRPr="00F33FB3">
        <w:rPr>
          <w:rFonts w:ascii="Arial" w:eastAsia="Calibri" w:hAnsi="Arial" w:cs="Arial"/>
          <w:b/>
        </w:rPr>
        <w:t>Technical Workshop held in Harare, Zimbabwe,</w:t>
      </w:r>
      <w:r w:rsidRPr="00F33FB3">
        <w:rPr>
          <w:rFonts w:ascii="Arial" w:eastAsia="Calibri" w:hAnsi="Arial" w:cs="Arial"/>
        </w:rPr>
        <w:t xml:space="preserve"> </w:t>
      </w:r>
      <w:r w:rsidRPr="00F33FB3">
        <w:rPr>
          <w:rFonts w:ascii="Arial" w:eastAsia="Calibri" w:hAnsi="Arial" w:cs="Arial"/>
          <w:b/>
          <w:i/>
        </w:rPr>
        <w:t xml:space="preserve">the point-to-point MW-Km (Load Flow-Based) methodology was adopted as the Continental Transmission Tariff Methodology. </w:t>
      </w:r>
      <w:r w:rsidRPr="00F33FB3">
        <w:rPr>
          <w:rFonts w:ascii="Arial" w:eastAsia="Calibri" w:hAnsi="Arial" w:cs="Arial"/>
        </w:rPr>
        <w:t xml:space="preserve">The point-to-point MW-km (Load Flow-Based) transmission tariff methodology presents a good balance in terms of recovery of </w:t>
      </w:r>
      <w:r w:rsidRPr="00F33FB3">
        <w:rPr>
          <w:rFonts w:ascii="Arial" w:eastAsia="Calibri" w:hAnsi="Arial" w:cs="Arial"/>
          <w:i/>
        </w:rPr>
        <w:t>transmission cost,</w:t>
      </w:r>
      <w:r w:rsidRPr="00F33FB3">
        <w:rPr>
          <w:rFonts w:ascii="Arial" w:eastAsia="Calibri" w:hAnsi="Arial" w:cs="Arial"/>
        </w:rPr>
        <w:t xml:space="preserve"> simplicity and providing correct price signals. It takes account of network constraints and actual network flows</w:t>
      </w:r>
    </w:p>
    <w:p w:rsidR="00F33FB3" w:rsidRPr="00F33FB3" w:rsidRDefault="00F33FB3" w:rsidP="00F33FB3">
      <w:pPr>
        <w:pStyle w:val="ListParagraph"/>
        <w:jc w:val="both"/>
        <w:rPr>
          <w:rFonts w:ascii="Arial" w:eastAsia="Calibri" w:hAnsi="Arial" w:cs="Arial"/>
        </w:rPr>
      </w:pPr>
    </w:p>
    <w:p w:rsidR="00F33FB3" w:rsidRPr="00F33FB3" w:rsidRDefault="00F33FB3" w:rsidP="00F33FB3">
      <w:pPr>
        <w:pStyle w:val="ListParagraph"/>
        <w:numPr>
          <w:ilvl w:val="1"/>
          <w:numId w:val="11"/>
        </w:numPr>
        <w:jc w:val="both"/>
        <w:outlineLvl w:val="1"/>
        <w:rPr>
          <w:rFonts w:ascii="Arial" w:eastAsia="Calibri" w:hAnsi="Arial" w:cs="Arial"/>
          <w:b/>
          <w:bCs/>
        </w:rPr>
      </w:pPr>
      <w:r w:rsidRPr="00F33FB3">
        <w:rPr>
          <w:rFonts w:ascii="Arial" w:eastAsia="Calibri" w:hAnsi="Arial" w:cs="Arial"/>
          <w:b/>
          <w:bCs/>
        </w:rPr>
        <w:t>Transmission Pricing Objectives</w:t>
      </w:r>
    </w:p>
    <w:p w:rsidR="00F33FB3" w:rsidRPr="00F33FB3" w:rsidRDefault="00F33FB3" w:rsidP="00F33FB3">
      <w:pPr>
        <w:contextualSpacing/>
        <w:jc w:val="both"/>
        <w:rPr>
          <w:rFonts w:ascii="Arial" w:eastAsia="Calibri" w:hAnsi="Arial" w:cs="Arial"/>
        </w:rPr>
      </w:pPr>
      <w:r w:rsidRPr="00F33FB3">
        <w:rPr>
          <w:rFonts w:ascii="Arial" w:eastAsia="Calibri" w:hAnsi="Arial" w:cs="Arial"/>
        </w:rPr>
        <w:t xml:space="preserve">A good transmission pricing approach must meet the following objectives: </w:t>
      </w:r>
      <w:r w:rsidRPr="00F33FB3">
        <w:rPr>
          <w:rFonts w:ascii="Arial" w:eastAsia="Calibri" w:hAnsi="Arial" w:cs="Arial"/>
          <w:b/>
        </w:rPr>
        <w:t>Promote Economic Efficiency</w:t>
      </w:r>
      <w:r w:rsidRPr="00F33FB3">
        <w:rPr>
          <w:rFonts w:ascii="Arial" w:eastAsia="Calibri" w:hAnsi="Arial" w:cs="Arial"/>
        </w:rPr>
        <w:t xml:space="preserve">, </w:t>
      </w:r>
      <w:r w:rsidRPr="00F33FB3">
        <w:rPr>
          <w:rFonts w:ascii="Arial" w:eastAsia="Calibri" w:hAnsi="Arial" w:cs="Arial"/>
          <w:b/>
        </w:rPr>
        <w:t xml:space="preserve">Ensure Price Transparency and Non-discriminatory, Ensure Cost Recovery, Simple and Easy to Implement: </w:t>
      </w:r>
      <w:r w:rsidRPr="00F33FB3">
        <w:rPr>
          <w:rFonts w:ascii="Arial" w:eastAsia="Calibri" w:hAnsi="Arial" w:cs="Arial"/>
        </w:rPr>
        <w:t xml:space="preserve">The methodology should be easy to understand and administer and </w:t>
      </w:r>
      <w:r w:rsidRPr="00F33FB3">
        <w:rPr>
          <w:rFonts w:ascii="Arial" w:eastAsia="Calibri" w:hAnsi="Arial" w:cs="Arial"/>
          <w:b/>
        </w:rPr>
        <w:t>Promote Open-Access and Competition.</w:t>
      </w:r>
      <w:r w:rsidRPr="00F33FB3">
        <w:rPr>
          <w:rFonts w:ascii="Arial" w:eastAsia="Calibri" w:hAnsi="Arial" w:cs="Arial"/>
        </w:rPr>
        <w:t xml:space="preserve"> In practice, it is difficult to find a single tariff methodology that satisfies all the above objectives, since some of the tariff principles may be in conflict with others. Regulators therefore adopt a “second best” approach by finding a good balance among the above objectives, while taking account of practical issues which could affect the implementation of the tariff methodology.</w:t>
      </w:r>
    </w:p>
    <w:p w:rsidR="00F33FB3" w:rsidRPr="00F33FB3" w:rsidRDefault="00F33FB3" w:rsidP="00F33FB3">
      <w:pPr>
        <w:pStyle w:val="ListParagraph"/>
        <w:keepNext/>
        <w:keepLines/>
        <w:numPr>
          <w:ilvl w:val="0"/>
          <w:numId w:val="11"/>
        </w:numPr>
        <w:spacing w:before="360" w:after="40"/>
        <w:ind w:left="567" w:hanging="567"/>
        <w:jc w:val="both"/>
        <w:outlineLvl w:val="1"/>
        <w:rPr>
          <w:rFonts w:ascii="Arial" w:eastAsia="SimSun" w:hAnsi="Arial" w:cs="Arial"/>
          <w:b/>
          <w:bCs/>
        </w:rPr>
      </w:pPr>
      <w:r w:rsidRPr="00F33FB3">
        <w:rPr>
          <w:rFonts w:ascii="Arial" w:eastAsia="SimSun" w:hAnsi="Arial" w:cs="Arial"/>
          <w:b/>
          <w:bCs/>
        </w:rPr>
        <w:t>Transmission Tariff Model and Structure</w:t>
      </w:r>
    </w:p>
    <w:p w:rsidR="00F33FB3" w:rsidRPr="00F33FB3" w:rsidRDefault="00F33FB3" w:rsidP="00F33FB3">
      <w:pPr>
        <w:jc w:val="both"/>
        <w:rPr>
          <w:rFonts w:ascii="Arial" w:eastAsia="Calibri" w:hAnsi="Arial" w:cs="Arial"/>
        </w:rPr>
      </w:pPr>
      <w:r w:rsidRPr="00F33FB3">
        <w:rPr>
          <w:rFonts w:ascii="Arial" w:eastAsia="Calibri" w:hAnsi="Arial" w:cs="Arial"/>
        </w:rPr>
        <w:t>The transmission tariff model comprises separate but interconnected excel worksheets</w:t>
      </w:r>
      <w:r w:rsidRPr="00F33FB3">
        <w:rPr>
          <w:rFonts w:ascii="Arial" w:eastAsia="Calibri" w:hAnsi="Arial" w:cs="Arial"/>
          <w:b/>
          <w:i/>
        </w:rPr>
        <w:t xml:space="preserve">. The tariff model is designed based on the “free” cash flow concept, where the tariff is </w:t>
      </w:r>
      <w:r w:rsidRPr="00F33FB3">
        <w:rPr>
          <w:rFonts w:ascii="Arial" w:eastAsia="Calibri" w:hAnsi="Arial" w:cs="Arial"/>
          <w:b/>
          <w:i/>
        </w:rPr>
        <w:lastRenderedPageBreak/>
        <w:t>determined by first setting the NPV of “free” cash flow to zero and then setting the NPV to be positive</w:t>
      </w:r>
      <w:r w:rsidRPr="00F33FB3">
        <w:rPr>
          <w:rFonts w:ascii="Arial" w:eastAsia="Calibri" w:hAnsi="Arial" w:cs="Arial"/>
        </w:rPr>
        <w:t>. This approach will result in the determination of a transmission tariff that would enable the Transmission System Operator (TSO) to cover its incremental costs and earn a reasonable return on invested capital. The structure of the model is depicted in figure 1 and designed based on the following TSO revenue requirements formula.</w:t>
      </w:r>
    </w:p>
    <w:p w:rsidR="00F33FB3" w:rsidRPr="00F33FB3" w:rsidRDefault="00F33FB3" w:rsidP="00F33FB3">
      <w:pPr>
        <w:jc w:val="both"/>
        <w:rPr>
          <w:rFonts w:ascii="Arial" w:eastAsia="Calibri" w:hAnsi="Arial" w:cs="Arial"/>
        </w:rPr>
      </w:pPr>
      <w:proofErr w:type="spellStart"/>
      <w:r w:rsidRPr="00F33FB3">
        <w:rPr>
          <w:rFonts w:ascii="Arial" w:eastAsia="Calibri" w:hAnsi="Arial" w:cs="Arial"/>
          <w:b/>
          <w:bCs/>
        </w:rPr>
        <w:t>TSO</w:t>
      </w:r>
      <w:r w:rsidRPr="00F33FB3">
        <w:rPr>
          <w:rFonts w:ascii="Arial" w:eastAsia="Calibri" w:hAnsi="Arial" w:cs="Arial"/>
          <w:b/>
          <w:bCs/>
          <w:vertAlign w:val="subscript"/>
        </w:rPr>
        <w:t>ARR</w:t>
      </w:r>
      <w:proofErr w:type="gramStart"/>
      <w:r w:rsidRPr="00F33FB3">
        <w:rPr>
          <w:rFonts w:ascii="Arial" w:eastAsia="Calibri" w:hAnsi="Arial" w:cs="Arial"/>
          <w:b/>
          <w:bCs/>
          <w:vertAlign w:val="subscript"/>
        </w:rPr>
        <w:t>,t</w:t>
      </w:r>
      <w:proofErr w:type="spellEnd"/>
      <w:proofErr w:type="gramEnd"/>
      <w:r w:rsidRPr="00F33FB3">
        <w:rPr>
          <w:rFonts w:ascii="Arial" w:eastAsia="Calibri" w:hAnsi="Arial" w:cs="Arial"/>
          <w:b/>
          <w:bCs/>
        </w:rPr>
        <w:t xml:space="preserve"> = (</w:t>
      </w:r>
      <w:proofErr w:type="spellStart"/>
      <w:r w:rsidRPr="00F33FB3">
        <w:rPr>
          <w:rFonts w:ascii="Arial" w:eastAsia="Calibri" w:hAnsi="Arial" w:cs="Arial"/>
          <w:b/>
          <w:bCs/>
        </w:rPr>
        <w:t>RAB</w:t>
      </w:r>
      <w:r w:rsidRPr="00F33FB3">
        <w:rPr>
          <w:rFonts w:ascii="Arial" w:eastAsia="Calibri" w:hAnsi="Arial" w:cs="Arial"/>
          <w:b/>
          <w:bCs/>
          <w:vertAlign w:val="subscript"/>
        </w:rPr>
        <w:t>t</w:t>
      </w:r>
      <w:proofErr w:type="spellEnd"/>
      <w:r w:rsidRPr="00F33FB3">
        <w:rPr>
          <w:rFonts w:ascii="Arial" w:eastAsia="Calibri" w:hAnsi="Arial" w:cs="Arial"/>
          <w:b/>
          <w:bCs/>
        </w:rPr>
        <w:t>× WACC) + (</w:t>
      </w:r>
      <w:proofErr w:type="spellStart"/>
      <w:r w:rsidRPr="00F33FB3">
        <w:rPr>
          <w:rFonts w:ascii="Arial" w:eastAsia="Calibri" w:hAnsi="Arial" w:cs="Arial"/>
          <w:b/>
          <w:bCs/>
        </w:rPr>
        <w:t>WC</w:t>
      </w:r>
      <w:r w:rsidRPr="00F33FB3">
        <w:rPr>
          <w:rFonts w:ascii="Arial" w:eastAsia="Calibri" w:hAnsi="Arial" w:cs="Arial"/>
          <w:b/>
          <w:bCs/>
          <w:vertAlign w:val="subscript"/>
        </w:rPr>
        <w:t>t</w:t>
      </w:r>
      <w:proofErr w:type="spellEnd"/>
      <w:r w:rsidRPr="00F33FB3">
        <w:rPr>
          <w:rFonts w:ascii="Arial" w:eastAsia="Calibri" w:hAnsi="Arial" w:cs="Arial"/>
          <w:b/>
          <w:bCs/>
        </w:rPr>
        <w:t xml:space="preserve"> x WACC) + </w:t>
      </w:r>
      <w:proofErr w:type="spellStart"/>
      <w:r w:rsidRPr="00F33FB3">
        <w:rPr>
          <w:rFonts w:ascii="Arial" w:eastAsia="Calibri" w:hAnsi="Arial" w:cs="Arial"/>
          <w:b/>
          <w:bCs/>
        </w:rPr>
        <w:t>O&amp;M</w:t>
      </w:r>
      <w:r w:rsidRPr="00F33FB3">
        <w:rPr>
          <w:rFonts w:ascii="Arial" w:eastAsia="Calibri" w:hAnsi="Arial" w:cs="Arial"/>
          <w:b/>
          <w:bCs/>
          <w:vertAlign w:val="subscript"/>
        </w:rPr>
        <w:t>t</w:t>
      </w:r>
      <w:proofErr w:type="spellEnd"/>
      <w:r w:rsidRPr="00F33FB3">
        <w:rPr>
          <w:rFonts w:ascii="Arial" w:eastAsia="Calibri" w:hAnsi="Arial" w:cs="Arial"/>
          <w:b/>
          <w:bCs/>
        </w:rPr>
        <w:t xml:space="preserve"> + </w:t>
      </w:r>
      <w:proofErr w:type="spellStart"/>
      <w:r w:rsidRPr="00F33FB3">
        <w:rPr>
          <w:rFonts w:ascii="Arial" w:eastAsia="Calibri" w:hAnsi="Arial" w:cs="Arial"/>
          <w:b/>
          <w:bCs/>
        </w:rPr>
        <w:t>Dep</w:t>
      </w:r>
      <w:r w:rsidRPr="00F33FB3">
        <w:rPr>
          <w:rFonts w:ascii="Arial" w:eastAsia="Calibri" w:hAnsi="Arial" w:cs="Arial"/>
          <w:b/>
          <w:bCs/>
          <w:vertAlign w:val="subscript"/>
        </w:rPr>
        <w:t>t</w:t>
      </w:r>
      <w:proofErr w:type="spellEnd"/>
      <w:r w:rsidRPr="00F33FB3">
        <w:rPr>
          <w:rFonts w:ascii="Arial" w:eastAsia="Calibri" w:hAnsi="Arial" w:cs="Arial"/>
          <w:b/>
          <w:bCs/>
        </w:rPr>
        <w:t xml:space="preserve"> + </w:t>
      </w:r>
      <w:proofErr w:type="spellStart"/>
      <w:r w:rsidRPr="00F33FB3">
        <w:rPr>
          <w:rFonts w:ascii="Arial" w:eastAsia="Calibri" w:hAnsi="Arial" w:cs="Arial"/>
          <w:b/>
          <w:bCs/>
        </w:rPr>
        <w:t>Tax</w:t>
      </w:r>
      <w:r w:rsidRPr="00F33FB3">
        <w:rPr>
          <w:rFonts w:ascii="Arial" w:eastAsia="Calibri" w:hAnsi="Arial" w:cs="Arial"/>
          <w:b/>
          <w:bCs/>
          <w:vertAlign w:val="subscript"/>
        </w:rPr>
        <w:t>t</w:t>
      </w:r>
      <w:proofErr w:type="spellEnd"/>
    </w:p>
    <w:p w:rsidR="00F33FB3" w:rsidRPr="00F33FB3" w:rsidRDefault="00F33FB3" w:rsidP="00F33FB3">
      <w:pPr>
        <w:jc w:val="both"/>
        <w:rPr>
          <w:rFonts w:ascii="Arial" w:eastAsia="Calibri" w:hAnsi="Arial" w:cs="Arial"/>
        </w:rPr>
      </w:pPr>
      <w:r w:rsidRPr="00F33FB3">
        <w:rPr>
          <w:rFonts w:ascii="Arial" w:eastAsia="Calibri" w:hAnsi="Arial" w:cs="Arial"/>
        </w:rPr>
        <w:t>Where:</w:t>
      </w:r>
    </w:p>
    <w:p w:rsidR="00F33FB3" w:rsidRPr="00F33FB3" w:rsidRDefault="00F33FB3" w:rsidP="00F33FB3">
      <w:pPr>
        <w:jc w:val="both"/>
        <w:rPr>
          <w:rFonts w:ascii="Arial" w:eastAsia="Calibri" w:hAnsi="Arial" w:cs="Arial"/>
        </w:rPr>
      </w:pPr>
      <w:proofErr w:type="spellStart"/>
      <w:r w:rsidRPr="00F33FB3">
        <w:rPr>
          <w:rFonts w:ascii="Arial" w:eastAsia="Calibri" w:hAnsi="Arial" w:cs="Arial"/>
        </w:rPr>
        <w:t>TSO</w:t>
      </w:r>
      <w:r w:rsidRPr="00F33FB3">
        <w:rPr>
          <w:rFonts w:ascii="Arial" w:eastAsia="Calibri" w:hAnsi="Arial" w:cs="Arial"/>
          <w:vertAlign w:val="subscript"/>
        </w:rPr>
        <w:t>ARR</w:t>
      </w:r>
      <w:proofErr w:type="gramStart"/>
      <w:r w:rsidRPr="00F33FB3">
        <w:rPr>
          <w:rFonts w:ascii="Arial" w:eastAsia="Calibri" w:hAnsi="Arial" w:cs="Arial"/>
          <w:vertAlign w:val="subscript"/>
        </w:rPr>
        <w:t>,t</w:t>
      </w:r>
      <w:proofErr w:type="spellEnd"/>
      <w:proofErr w:type="gramEnd"/>
      <w:r w:rsidRPr="00F33FB3">
        <w:rPr>
          <w:rFonts w:ascii="Arial" w:eastAsia="Calibri" w:hAnsi="Arial" w:cs="Arial"/>
          <w:vertAlign w:val="subscript"/>
        </w:rPr>
        <w:t xml:space="preserve"> </w:t>
      </w:r>
      <w:r w:rsidRPr="00F33FB3">
        <w:rPr>
          <w:rFonts w:ascii="Arial" w:eastAsia="Calibri" w:hAnsi="Arial" w:cs="Arial"/>
        </w:rPr>
        <w:tab/>
        <w:t xml:space="preserve">= TSO Annual Revenue Requirement for period “t” </w:t>
      </w:r>
    </w:p>
    <w:p w:rsidR="00F33FB3" w:rsidRPr="00F33FB3" w:rsidRDefault="00F33FB3" w:rsidP="00F33FB3">
      <w:pPr>
        <w:jc w:val="both"/>
        <w:rPr>
          <w:rFonts w:ascii="Arial" w:eastAsia="Calibri" w:hAnsi="Arial" w:cs="Arial"/>
        </w:rPr>
      </w:pPr>
      <w:proofErr w:type="spellStart"/>
      <w:r w:rsidRPr="00F33FB3">
        <w:rPr>
          <w:rFonts w:ascii="Arial" w:eastAsia="Calibri" w:hAnsi="Arial" w:cs="Arial"/>
        </w:rPr>
        <w:t>RAB</w:t>
      </w:r>
      <w:r w:rsidRPr="00F33FB3">
        <w:rPr>
          <w:rFonts w:ascii="Arial" w:eastAsia="Calibri" w:hAnsi="Arial" w:cs="Arial"/>
          <w:vertAlign w:val="subscript"/>
        </w:rPr>
        <w:t>t</w:t>
      </w:r>
      <w:proofErr w:type="spellEnd"/>
      <w:r w:rsidRPr="00F33FB3">
        <w:rPr>
          <w:rFonts w:ascii="Arial" w:eastAsia="Calibri" w:hAnsi="Arial" w:cs="Arial"/>
        </w:rPr>
        <w:t xml:space="preserve"> </w:t>
      </w:r>
      <w:r w:rsidRPr="00F33FB3">
        <w:rPr>
          <w:rFonts w:ascii="Arial" w:eastAsia="Calibri" w:hAnsi="Arial" w:cs="Arial"/>
        </w:rPr>
        <w:tab/>
      </w:r>
      <w:r w:rsidRPr="00F33FB3">
        <w:rPr>
          <w:rFonts w:ascii="Arial" w:eastAsia="Calibri" w:hAnsi="Arial" w:cs="Arial"/>
        </w:rPr>
        <w:tab/>
        <w:t>= Regulatory Asset Base for period “t”</w:t>
      </w:r>
    </w:p>
    <w:p w:rsidR="00F33FB3" w:rsidRPr="00F33FB3" w:rsidRDefault="00F33FB3" w:rsidP="00F33FB3">
      <w:pPr>
        <w:jc w:val="both"/>
        <w:rPr>
          <w:rFonts w:ascii="Arial" w:eastAsia="Calibri" w:hAnsi="Arial" w:cs="Arial"/>
        </w:rPr>
      </w:pPr>
      <w:r w:rsidRPr="00F33FB3">
        <w:rPr>
          <w:rFonts w:ascii="Arial" w:eastAsia="Calibri" w:hAnsi="Arial" w:cs="Arial"/>
        </w:rPr>
        <w:t xml:space="preserve">WACC </w:t>
      </w:r>
      <w:r w:rsidRPr="00F33FB3">
        <w:rPr>
          <w:rFonts w:ascii="Arial" w:eastAsia="Calibri" w:hAnsi="Arial" w:cs="Arial"/>
        </w:rPr>
        <w:tab/>
      </w:r>
      <w:r w:rsidRPr="00F33FB3">
        <w:rPr>
          <w:rFonts w:ascii="Arial" w:eastAsia="Calibri" w:hAnsi="Arial" w:cs="Arial"/>
        </w:rPr>
        <w:tab/>
        <w:t>= Weighted Average Cost of Capital</w:t>
      </w:r>
    </w:p>
    <w:p w:rsidR="00F33FB3" w:rsidRPr="00F33FB3" w:rsidRDefault="00F33FB3" w:rsidP="00F33FB3">
      <w:pPr>
        <w:jc w:val="both"/>
        <w:rPr>
          <w:rFonts w:ascii="Arial" w:eastAsia="Calibri" w:hAnsi="Arial" w:cs="Arial"/>
        </w:rPr>
      </w:pPr>
      <w:proofErr w:type="spellStart"/>
      <w:r w:rsidRPr="00F33FB3">
        <w:rPr>
          <w:rFonts w:ascii="Arial" w:eastAsia="Calibri" w:hAnsi="Arial" w:cs="Arial"/>
        </w:rPr>
        <w:t>WC</w:t>
      </w:r>
      <w:r w:rsidRPr="00F33FB3">
        <w:rPr>
          <w:rFonts w:ascii="Arial" w:eastAsia="Calibri" w:hAnsi="Arial" w:cs="Arial"/>
          <w:vertAlign w:val="subscript"/>
        </w:rPr>
        <w:t>t</w:t>
      </w:r>
      <w:proofErr w:type="spellEnd"/>
      <w:r w:rsidRPr="00F33FB3">
        <w:rPr>
          <w:rFonts w:ascii="Arial" w:eastAsia="Calibri" w:hAnsi="Arial" w:cs="Arial"/>
        </w:rPr>
        <w:tab/>
      </w:r>
      <w:r w:rsidRPr="00F33FB3">
        <w:rPr>
          <w:rFonts w:ascii="Arial" w:eastAsia="Calibri" w:hAnsi="Arial" w:cs="Arial"/>
        </w:rPr>
        <w:tab/>
        <w:t>= Working Capital for period “t”</w:t>
      </w:r>
    </w:p>
    <w:p w:rsidR="00F33FB3" w:rsidRPr="00F33FB3" w:rsidRDefault="00F33FB3" w:rsidP="00F33FB3">
      <w:pPr>
        <w:jc w:val="both"/>
        <w:rPr>
          <w:rFonts w:ascii="Arial" w:eastAsia="Calibri" w:hAnsi="Arial" w:cs="Arial"/>
        </w:rPr>
      </w:pPr>
      <w:proofErr w:type="spellStart"/>
      <w:r w:rsidRPr="00F33FB3">
        <w:rPr>
          <w:rFonts w:ascii="Arial" w:eastAsia="Calibri" w:hAnsi="Arial" w:cs="Arial"/>
        </w:rPr>
        <w:t>O&amp;M</w:t>
      </w:r>
      <w:r w:rsidRPr="00F33FB3">
        <w:rPr>
          <w:rFonts w:ascii="Arial" w:eastAsia="Calibri" w:hAnsi="Arial" w:cs="Arial"/>
          <w:vertAlign w:val="subscript"/>
        </w:rPr>
        <w:t>t</w:t>
      </w:r>
      <w:proofErr w:type="spellEnd"/>
      <w:r w:rsidRPr="00F33FB3">
        <w:rPr>
          <w:rFonts w:ascii="Arial" w:eastAsia="Calibri" w:hAnsi="Arial" w:cs="Arial"/>
        </w:rPr>
        <w:t xml:space="preserve"> </w:t>
      </w:r>
      <w:r w:rsidRPr="00F33FB3">
        <w:rPr>
          <w:rFonts w:ascii="Arial" w:eastAsia="Calibri" w:hAnsi="Arial" w:cs="Arial"/>
        </w:rPr>
        <w:tab/>
      </w:r>
      <w:r w:rsidRPr="00F33FB3">
        <w:rPr>
          <w:rFonts w:ascii="Arial" w:eastAsia="Calibri" w:hAnsi="Arial" w:cs="Arial"/>
        </w:rPr>
        <w:tab/>
        <w:t>= Operating and Maintenance Expense for period “t”</w:t>
      </w:r>
    </w:p>
    <w:p w:rsidR="00F33FB3" w:rsidRPr="00F33FB3" w:rsidRDefault="00F33FB3" w:rsidP="00F33FB3">
      <w:pPr>
        <w:jc w:val="both"/>
        <w:rPr>
          <w:rFonts w:ascii="Arial" w:eastAsia="Calibri" w:hAnsi="Arial" w:cs="Arial"/>
        </w:rPr>
      </w:pPr>
      <w:proofErr w:type="spellStart"/>
      <w:r w:rsidRPr="00F33FB3">
        <w:rPr>
          <w:rFonts w:ascii="Arial" w:eastAsia="Calibri" w:hAnsi="Arial" w:cs="Arial"/>
        </w:rPr>
        <w:t>Dep</w:t>
      </w:r>
      <w:r w:rsidRPr="00F33FB3">
        <w:rPr>
          <w:rFonts w:ascii="Arial" w:eastAsia="Calibri" w:hAnsi="Arial" w:cs="Arial"/>
          <w:vertAlign w:val="subscript"/>
        </w:rPr>
        <w:t>t</w:t>
      </w:r>
      <w:proofErr w:type="spellEnd"/>
      <w:r w:rsidRPr="00F33FB3">
        <w:rPr>
          <w:rFonts w:ascii="Arial" w:eastAsia="Calibri" w:hAnsi="Arial" w:cs="Arial"/>
        </w:rPr>
        <w:t xml:space="preserve"> </w:t>
      </w:r>
      <w:r w:rsidRPr="00F33FB3">
        <w:rPr>
          <w:rFonts w:ascii="Arial" w:eastAsia="Calibri" w:hAnsi="Arial" w:cs="Arial"/>
        </w:rPr>
        <w:tab/>
      </w:r>
      <w:r w:rsidRPr="00F33FB3">
        <w:rPr>
          <w:rFonts w:ascii="Arial" w:eastAsia="Calibri" w:hAnsi="Arial" w:cs="Arial"/>
        </w:rPr>
        <w:tab/>
        <w:t>= Regulatory Depreciation for period “t”</w:t>
      </w:r>
    </w:p>
    <w:p w:rsidR="00F33FB3" w:rsidRPr="00F33FB3" w:rsidRDefault="00F33FB3" w:rsidP="00F33FB3">
      <w:pPr>
        <w:jc w:val="both"/>
        <w:rPr>
          <w:rFonts w:ascii="Arial" w:eastAsia="Calibri" w:hAnsi="Arial" w:cs="Arial"/>
        </w:rPr>
      </w:pPr>
      <w:proofErr w:type="spellStart"/>
      <w:r w:rsidRPr="00F33FB3">
        <w:rPr>
          <w:rFonts w:ascii="Arial" w:eastAsia="Calibri" w:hAnsi="Arial" w:cs="Arial"/>
        </w:rPr>
        <w:t>Tax</w:t>
      </w:r>
      <w:r w:rsidRPr="00F33FB3">
        <w:rPr>
          <w:rFonts w:ascii="Arial" w:eastAsia="Calibri" w:hAnsi="Arial" w:cs="Arial"/>
          <w:vertAlign w:val="subscript"/>
        </w:rPr>
        <w:t>t</w:t>
      </w:r>
      <w:proofErr w:type="spellEnd"/>
      <w:r w:rsidRPr="00F33FB3">
        <w:rPr>
          <w:rFonts w:ascii="Arial" w:eastAsia="Calibri" w:hAnsi="Arial" w:cs="Arial"/>
        </w:rPr>
        <w:t xml:space="preserve"> </w:t>
      </w:r>
      <w:r w:rsidRPr="00F33FB3">
        <w:rPr>
          <w:rFonts w:ascii="Arial" w:eastAsia="Calibri" w:hAnsi="Arial" w:cs="Arial"/>
        </w:rPr>
        <w:tab/>
      </w:r>
      <w:r w:rsidRPr="00F33FB3">
        <w:rPr>
          <w:rFonts w:ascii="Arial" w:eastAsia="Calibri" w:hAnsi="Arial" w:cs="Arial"/>
        </w:rPr>
        <w:tab/>
        <w:t xml:space="preserve">= Corporate Tax for period “t”  </w:t>
      </w:r>
    </w:p>
    <w:p w:rsidR="00F33FB3" w:rsidRPr="00F33FB3" w:rsidRDefault="00F33FB3" w:rsidP="00F33FB3">
      <w:pPr>
        <w:jc w:val="both"/>
        <w:rPr>
          <w:rFonts w:ascii="Arial" w:eastAsia="Calibri" w:hAnsi="Arial" w:cs="Arial"/>
          <w:b/>
        </w:rPr>
      </w:pPr>
    </w:p>
    <w:p w:rsidR="00F33FB3" w:rsidRPr="00F33FB3" w:rsidRDefault="00F33FB3" w:rsidP="00F33FB3">
      <w:pPr>
        <w:jc w:val="both"/>
        <w:rPr>
          <w:rFonts w:ascii="Arial" w:eastAsia="Calibri" w:hAnsi="Arial" w:cs="Arial"/>
        </w:rPr>
      </w:pPr>
      <w:r w:rsidRPr="00F33FB3">
        <w:rPr>
          <w:rFonts w:ascii="Arial" w:eastAsia="Calibri" w:hAnsi="Arial" w:cs="Arial"/>
        </w:rPr>
        <w:t>The Model Structure is depicted in figure 1, showing the main elements.</w:t>
      </w:r>
    </w:p>
    <w:p w:rsidR="00F33FB3" w:rsidRPr="00F33FB3" w:rsidRDefault="00F33FB3" w:rsidP="00F33FB3">
      <w:pPr>
        <w:jc w:val="both"/>
        <w:rPr>
          <w:rFonts w:ascii="Arial" w:eastAsia="Calibri" w:hAnsi="Arial" w:cs="Arial"/>
        </w:rPr>
      </w:pPr>
    </w:p>
    <w:p w:rsidR="00F33FB3" w:rsidRPr="00F33FB3" w:rsidRDefault="00F33FB3" w:rsidP="00F33FB3">
      <w:pPr>
        <w:jc w:val="both"/>
        <w:rPr>
          <w:rFonts w:ascii="Arial" w:eastAsia="Calibri" w:hAnsi="Arial" w:cs="Arial"/>
          <w:b/>
        </w:rPr>
      </w:pPr>
      <w:r w:rsidRPr="00F33FB3">
        <w:rPr>
          <w:rFonts w:ascii="Arial" w:eastAsia="Calibri" w:hAnsi="Arial" w:cs="Arial"/>
          <w:b/>
        </w:rPr>
        <w:t xml:space="preserve">Figure 1. </w:t>
      </w:r>
      <w:r w:rsidRPr="00F33FB3">
        <w:rPr>
          <w:rFonts w:ascii="Arial" w:eastAsia="Calibri" w:hAnsi="Arial" w:cs="Arial"/>
          <w:b/>
        </w:rPr>
        <w:tab/>
        <w:t>Structure of Transmission Tariff Model</w:t>
      </w:r>
    </w:p>
    <w:p w:rsidR="00F33FB3" w:rsidRDefault="00F33FB3" w:rsidP="00F33FB3">
      <w:pPr>
        <w:jc w:val="both"/>
        <w:rPr>
          <w:rFonts w:eastAsia="Calibri" w:cs="Arial"/>
          <w:b/>
          <w:color w:val="394A58"/>
          <w:szCs w:val="20"/>
        </w:rPr>
      </w:pPr>
    </w:p>
    <w:p w:rsidR="00F33FB3" w:rsidRDefault="00F33FB3" w:rsidP="00F33FB3">
      <w:pPr>
        <w:jc w:val="both"/>
        <w:rPr>
          <w:rFonts w:eastAsia="Calibri" w:cs="Arial"/>
          <w:color w:val="394A58"/>
          <w:szCs w:val="20"/>
        </w:rPr>
      </w:pPr>
      <w:r>
        <w:rPr>
          <w:rFonts w:asciiTheme="minorHAnsi" w:hAnsiTheme="minorHAnsi"/>
          <w:noProof/>
          <w:sz w:val="22"/>
        </w:rPr>
        <mc:AlternateContent>
          <mc:Choice Requires="wps">
            <w:drawing>
              <wp:anchor distT="0" distB="0" distL="114300" distR="114300" simplePos="0" relativeHeight="251665408" behindDoc="0" locked="0" layoutInCell="1" allowOverlap="1" wp14:anchorId="532B7B82" wp14:editId="462E1B25">
                <wp:simplePos x="0" y="0"/>
                <wp:positionH relativeFrom="margin">
                  <wp:posOffset>4128135</wp:posOffset>
                </wp:positionH>
                <wp:positionV relativeFrom="paragraph">
                  <wp:posOffset>1905</wp:posOffset>
                </wp:positionV>
                <wp:extent cx="2286000" cy="304800"/>
                <wp:effectExtent l="0" t="0" r="19050" b="19050"/>
                <wp:wrapNone/>
                <wp:docPr id="13" name="Rectangle: Rounded Corners 13"/>
                <wp:cNvGraphicFramePr/>
                <a:graphic xmlns:a="http://schemas.openxmlformats.org/drawingml/2006/main">
                  <a:graphicData uri="http://schemas.microsoft.com/office/word/2010/wordprocessingShape">
                    <wps:wsp>
                      <wps:cNvSpPr/>
                      <wps:spPr>
                        <a:xfrm>
                          <a:off x="0" y="0"/>
                          <a:ext cx="2286000" cy="304800"/>
                        </a:xfrm>
                        <a:prstGeom prst="roundRect">
                          <a:avLst/>
                        </a:prstGeom>
                        <a:solidFill>
                          <a:srgbClr val="394A58">
                            <a:lumMod val="20000"/>
                            <a:lumOff val="80000"/>
                          </a:srgbClr>
                        </a:solidFill>
                        <a:ln w="25400" cap="flat" cmpd="sng" algn="ctr">
                          <a:solidFill>
                            <a:srgbClr val="BED600">
                              <a:shade val="50000"/>
                            </a:srgbClr>
                          </a:solidFill>
                          <a:prstDash val="solid"/>
                        </a:ln>
                        <a:effectLst/>
                      </wps:spPr>
                      <wps:txbx>
                        <w:txbxContent>
                          <w:p w:rsidR="00F33FB3" w:rsidRDefault="00F33FB3" w:rsidP="00F33FB3">
                            <w:pPr>
                              <w:jc w:val="center"/>
                              <w:rPr>
                                <w:b/>
                                <w:sz w:val="18"/>
                                <w:szCs w:val="18"/>
                              </w:rPr>
                            </w:pPr>
                            <w:r>
                              <w:rPr>
                                <w:b/>
                                <w:sz w:val="18"/>
                                <w:szCs w:val="18"/>
                              </w:rPr>
                              <w:t>Load Flow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4E17E" id="Rectangle: Rounded Corners 13" o:spid="_x0000_s1028" style="position:absolute;left:0;text-align:left;margin-left:325.05pt;margin-top:.15pt;width:180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" fillcolor="#d3dbe2" strokecolor="#8b9d00" strokeweight="2pt">
                <v:textbox>
                  <w:txbxContent>
                    <w:p w:rsidR="00F33FB3" w:rsidRDefault="00F33FB3" w:rsidP="00F33FB3">
                      <w:pPr>
                        <w:jc w:val="center"/>
                        <w:rPr>
                          <w:b/>
                          <w:sz w:val="18"/>
                          <w:szCs w:val="18"/>
                        </w:rPr>
                      </w:pPr>
                      <w:r>
                        <w:rPr>
                          <w:b/>
                          <w:sz w:val="18"/>
                          <w:szCs w:val="18"/>
                        </w:rPr>
                        <w:t>Load Flow Analysis</w:t>
                      </w:r>
                    </w:p>
                  </w:txbxContent>
                </v:textbox>
                <w10:wrap anchorx="margin"/>
              </v:roundrect>
            </w:pict>
          </mc:Fallback>
        </mc:AlternateContent>
      </w:r>
      <w:r>
        <w:rPr>
          <w:rFonts w:asciiTheme="minorHAnsi" w:hAnsiTheme="minorHAnsi"/>
          <w:noProof/>
          <w:sz w:val="22"/>
        </w:rPr>
        <mc:AlternateContent>
          <mc:Choice Requires="wps">
            <w:drawing>
              <wp:anchor distT="0" distB="0" distL="114300" distR="114300" simplePos="0" relativeHeight="251664384" behindDoc="0" locked="0" layoutInCell="1" allowOverlap="1" wp14:anchorId="71D42A03" wp14:editId="735CB18B">
                <wp:simplePos x="0" y="0"/>
                <wp:positionH relativeFrom="column">
                  <wp:posOffset>2076450</wp:posOffset>
                </wp:positionH>
                <wp:positionV relativeFrom="paragraph">
                  <wp:posOffset>5715</wp:posOffset>
                </wp:positionV>
                <wp:extent cx="1711960" cy="333375"/>
                <wp:effectExtent l="0" t="0" r="21590" b="28575"/>
                <wp:wrapNone/>
                <wp:docPr id="14" name="Rectangle: Rounded Corners 14"/>
                <wp:cNvGraphicFramePr/>
                <a:graphic xmlns:a="http://schemas.openxmlformats.org/drawingml/2006/main">
                  <a:graphicData uri="http://schemas.microsoft.com/office/word/2010/wordprocessingShape">
                    <wps:wsp>
                      <wps:cNvSpPr/>
                      <wps:spPr>
                        <a:xfrm>
                          <a:off x="0" y="0"/>
                          <a:ext cx="1711325" cy="333375"/>
                        </a:xfrm>
                        <a:prstGeom prst="roundRect">
                          <a:avLst/>
                        </a:prstGeom>
                        <a:solidFill>
                          <a:srgbClr val="394A58">
                            <a:lumMod val="20000"/>
                            <a:lumOff val="80000"/>
                          </a:srgbClr>
                        </a:solidFill>
                        <a:ln w="25400" cap="flat" cmpd="sng" algn="ctr">
                          <a:solidFill>
                            <a:srgbClr val="BED600">
                              <a:shade val="50000"/>
                            </a:srgbClr>
                          </a:solidFill>
                          <a:prstDash val="solid"/>
                        </a:ln>
                        <a:effectLst/>
                      </wps:spPr>
                      <wps:txbx>
                        <w:txbxContent>
                          <w:p w:rsidR="00F33FB3" w:rsidRDefault="00F33FB3" w:rsidP="00F33FB3">
                            <w:pPr>
                              <w:jc w:val="center"/>
                              <w:rPr>
                                <w:b/>
                                <w:sz w:val="18"/>
                                <w:szCs w:val="18"/>
                              </w:rPr>
                            </w:pPr>
                            <w:r>
                              <w:rPr>
                                <w:b/>
                                <w:sz w:val="18"/>
                                <w:szCs w:val="18"/>
                              </w:rPr>
                              <w:t>Depreciation Expense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F66EF" id="Rectangle: Rounded Corners 14" o:spid="_x0000_s1029" style="position:absolute;left:0;text-align:left;margin-left:163.5pt;margin-top:.45pt;width:134.8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" fillcolor="#d3dbe2" strokecolor="#8b9d00" strokeweight="2pt">
                <v:textbox>
                  <w:txbxContent>
                    <w:p w:rsidR="00F33FB3" w:rsidRDefault="00F33FB3" w:rsidP="00F33FB3">
                      <w:pPr>
                        <w:jc w:val="center"/>
                        <w:rPr>
                          <w:b/>
                          <w:sz w:val="18"/>
                          <w:szCs w:val="18"/>
                        </w:rPr>
                      </w:pPr>
                      <w:r>
                        <w:rPr>
                          <w:b/>
                          <w:sz w:val="18"/>
                          <w:szCs w:val="18"/>
                        </w:rPr>
                        <w:t>Depreciation Expense</w:t>
                      </w:r>
                    </w:p>
                  </w:txbxContent>
                </v:textbox>
              </v:roundrect>
            </w:pict>
          </mc:Fallback>
        </mc:AlternateContent>
      </w:r>
      <w:r>
        <w:rPr>
          <w:rFonts w:asciiTheme="minorHAnsi" w:hAnsiTheme="minorHAnsi"/>
          <w:noProof/>
          <w:sz w:val="22"/>
        </w:rPr>
        <mc:AlternateContent>
          <mc:Choice Requires="wps">
            <w:drawing>
              <wp:anchor distT="0" distB="0" distL="114300" distR="114300" simplePos="0" relativeHeight="251667456" behindDoc="0" locked="0" layoutInCell="1" allowOverlap="1" wp14:anchorId="46141676" wp14:editId="0BAE752D">
                <wp:simplePos x="0" y="0"/>
                <wp:positionH relativeFrom="margin">
                  <wp:align>center</wp:align>
                </wp:positionH>
                <wp:positionV relativeFrom="paragraph">
                  <wp:posOffset>619125</wp:posOffset>
                </wp:positionV>
                <wp:extent cx="1962150" cy="685800"/>
                <wp:effectExtent l="0" t="0" r="19050" b="19050"/>
                <wp:wrapNone/>
                <wp:docPr id="22" name="Oval 22"/>
                <wp:cNvGraphicFramePr/>
                <a:graphic xmlns:a="http://schemas.openxmlformats.org/drawingml/2006/main">
                  <a:graphicData uri="http://schemas.microsoft.com/office/word/2010/wordprocessingShape">
                    <wps:wsp>
                      <wps:cNvSpPr/>
                      <wps:spPr>
                        <a:xfrm>
                          <a:off x="0" y="0"/>
                          <a:ext cx="1962150" cy="685800"/>
                        </a:xfrm>
                        <a:prstGeom prst="ellipse">
                          <a:avLst/>
                        </a:prstGeom>
                        <a:solidFill>
                          <a:srgbClr val="394A58">
                            <a:lumMod val="20000"/>
                            <a:lumOff val="80000"/>
                          </a:srgbClr>
                        </a:solidFill>
                        <a:ln w="25400" cap="flat" cmpd="sng" algn="ctr">
                          <a:solidFill>
                            <a:srgbClr val="BED600">
                              <a:shade val="50000"/>
                            </a:srgbClr>
                          </a:solidFill>
                          <a:prstDash val="solid"/>
                        </a:ln>
                        <a:effectLst/>
                      </wps:spPr>
                      <wps:txbx>
                        <w:txbxContent>
                          <w:p w:rsidR="00F33FB3" w:rsidRDefault="00F33FB3" w:rsidP="00F33FB3">
                            <w:pPr>
                              <w:jc w:val="center"/>
                              <w:rPr>
                                <w:b/>
                              </w:rPr>
                            </w:pPr>
                            <w:r>
                              <w:rPr>
                                <w:b/>
                              </w:rPr>
                              <w:t>Transmission Tariff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17029" id="Oval 22" o:spid="_x0000_s1030" style="position:absolute;left:0;text-align:left;margin-left:0;margin-top:48.75pt;width:154.5pt;height:5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" fillcolor="#d3dbe2" strokecolor="#8b9d00" strokeweight="2pt">
                <v:textbox>
                  <w:txbxContent>
                    <w:p w:rsidR="00F33FB3" w:rsidRDefault="00F33FB3" w:rsidP="00F33FB3">
                      <w:pPr>
                        <w:jc w:val="center"/>
                        <w:rPr>
                          <w:b/>
                        </w:rPr>
                      </w:pPr>
                      <w:r>
                        <w:rPr>
                          <w:b/>
                        </w:rPr>
                        <w:t>Transmission Tariff Model</w:t>
                      </w:r>
                    </w:p>
                  </w:txbxContent>
                </v:textbox>
                <w10:wrap anchorx="margin"/>
              </v:oval>
            </w:pict>
          </mc:Fallback>
        </mc:AlternateContent>
      </w:r>
      <w:r>
        <w:rPr>
          <w:rFonts w:asciiTheme="minorHAnsi" w:hAnsiTheme="minorHAnsi"/>
          <w:noProof/>
          <w:sz w:val="22"/>
        </w:rPr>
        <mc:AlternateContent>
          <mc:Choice Requires="wps">
            <w:drawing>
              <wp:anchor distT="0" distB="0" distL="114300" distR="114300" simplePos="0" relativeHeight="251669504" behindDoc="0" locked="0" layoutInCell="1" allowOverlap="1" wp14:anchorId="3ED1FDB0" wp14:editId="18FE2793">
                <wp:simplePos x="0" y="0"/>
                <wp:positionH relativeFrom="margin">
                  <wp:posOffset>1076325</wp:posOffset>
                </wp:positionH>
                <wp:positionV relativeFrom="paragraph">
                  <wp:posOffset>1565910</wp:posOffset>
                </wp:positionV>
                <wp:extent cx="3295650" cy="419100"/>
                <wp:effectExtent l="0" t="0" r="19050" b="19050"/>
                <wp:wrapNone/>
                <wp:docPr id="225" name="Rectangle: Rounded Corners 225"/>
                <wp:cNvGraphicFramePr/>
                <a:graphic xmlns:a="http://schemas.openxmlformats.org/drawingml/2006/main">
                  <a:graphicData uri="http://schemas.microsoft.com/office/word/2010/wordprocessingShape">
                    <wps:wsp>
                      <wps:cNvSpPr/>
                      <wps:spPr>
                        <a:xfrm>
                          <a:off x="0" y="0"/>
                          <a:ext cx="3295650" cy="419100"/>
                        </a:xfrm>
                        <a:prstGeom prst="roundRect">
                          <a:avLst/>
                        </a:prstGeom>
                        <a:solidFill>
                          <a:srgbClr val="394A58">
                            <a:lumMod val="20000"/>
                            <a:lumOff val="80000"/>
                          </a:srgbClr>
                        </a:solidFill>
                        <a:ln w="25400" cap="flat" cmpd="sng" algn="ctr">
                          <a:solidFill>
                            <a:srgbClr val="BED600">
                              <a:shade val="50000"/>
                            </a:srgbClr>
                          </a:solidFill>
                          <a:prstDash val="solid"/>
                        </a:ln>
                        <a:effectLst/>
                      </wps:spPr>
                      <wps:txbx>
                        <w:txbxContent>
                          <w:p w:rsidR="00F33FB3" w:rsidRDefault="00F33FB3" w:rsidP="00F33FB3">
                            <w:pPr>
                              <w:rPr>
                                <w:b/>
                                <w:sz w:val="18"/>
                                <w:szCs w:val="18"/>
                              </w:rPr>
                            </w:pPr>
                            <w:r>
                              <w:rPr>
                                <w:b/>
                                <w:sz w:val="18"/>
                                <w:szCs w:val="18"/>
                              </w:rPr>
                              <w:t xml:space="preserve">Model Output and Results: Transmission Tariff, Wheeling Charge, NPV, IRR, </w:t>
                            </w:r>
                            <w:proofErr w:type="spellStart"/>
                            <w:r>
                              <w:rPr>
                                <w:b/>
                                <w:sz w:val="18"/>
                                <w:szCs w:val="18"/>
                              </w:rPr>
                              <w:t>RoR</w:t>
                            </w:r>
                            <w:proofErr w:type="spellEnd"/>
                            <w:r>
                              <w:rPr>
                                <w:b/>
                                <w:sz w:val="18"/>
                                <w:szCs w:val="18"/>
                              </w:rPr>
                              <w:t>, Debt Service Coverage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D3501" id="Rectangle: Rounded Corners 225" o:spid="_x0000_s1031" style="position:absolute;left:0;text-align:left;margin-left:84.75pt;margin-top:123.3pt;width:259.5pt;height: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" fillcolor="#d3dbe2" strokecolor="#8b9d00" strokeweight="2pt">
                <v:textbox>
                  <w:txbxContent>
                    <w:p w:rsidR="00F33FB3" w:rsidRDefault="00F33FB3" w:rsidP="00F33FB3">
                      <w:pPr>
                        <w:rPr>
                          <w:b/>
                          <w:sz w:val="18"/>
                          <w:szCs w:val="18"/>
                        </w:rPr>
                      </w:pPr>
                      <w:r>
                        <w:rPr>
                          <w:b/>
                          <w:sz w:val="18"/>
                          <w:szCs w:val="18"/>
                        </w:rPr>
                        <w:t xml:space="preserve">Model Output and Results: Transmission Tariff, Wheeling Charge, NPV, IRR, </w:t>
                      </w:r>
                      <w:proofErr w:type="spellStart"/>
                      <w:r>
                        <w:rPr>
                          <w:b/>
                          <w:sz w:val="18"/>
                          <w:szCs w:val="18"/>
                        </w:rPr>
                        <w:t>RoR</w:t>
                      </w:r>
                      <w:proofErr w:type="spellEnd"/>
                      <w:r>
                        <w:rPr>
                          <w:b/>
                          <w:sz w:val="18"/>
                          <w:szCs w:val="18"/>
                        </w:rPr>
                        <w:t>, Debt Service Coverage</w:t>
                      </w:r>
                    </w:p>
                  </w:txbxContent>
                </v:textbox>
                <w10:wrap anchorx="margin"/>
              </v:roundrect>
            </w:pict>
          </mc:Fallback>
        </mc:AlternateContent>
      </w:r>
      <w:r>
        <w:rPr>
          <w:rFonts w:asciiTheme="minorHAnsi" w:hAnsiTheme="minorHAnsi"/>
          <w:noProof/>
          <w:sz w:val="22"/>
        </w:rPr>
        <mc:AlternateContent>
          <mc:Choice Requires="wps">
            <w:drawing>
              <wp:anchor distT="0" distB="0" distL="114300" distR="114300" simplePos="0" relativeHeight="251670528" behindDoc="0" locked="0" layoutInCell="1" allowOverlap="1" wp14:anchorId="6940F5B0" wp14:editId="7C1E3F1E">
                <wp:simplePos x="0" y="0"/>
                <wp:positionH relativeFrom="column">
                  <wp:posOffset>2819400</wp:posOffset>
                </wp:positionH>
                <wp:positionV relativeFrom="paragraph">
                  <wp:posOffset>369570</wp:posOffset>
                </wp:positionV>
                <wp:extent cx="95250" cy="238125"/>
                <wp:effectExtent l="19050" t="0" r="38100" b="47625"/>
                <wp:wrapNone/>
                <wp:docPr id="21" name="Arrow: Down 21"/>
                <wp:cNvGraphicFramePr/>
                <a:graphic xmlns:a="http://schemas.openxmlformats.org/drawingml/2006/main">
                  <a:graphicData uri="http://schemas.microsoft.com/office/word/2010/wordprocessingShape">
                    <wps:wsp>
                      <wps:cNvSpPr/>
                      <wps:spPr>
                        <a:xfrm>
                          <a:off x="0" y="0"/>
                          <a:ext cx="95250" cy="238125"/>
                        </a:xfrm>
                        <a:prstGeom prst="downArrow">
                          <a:avLst/>
                        </a:prstGeom>
                        <a:solidFill>
                          <a:srgbClr val="156570"/>
                        </a:solidFill>
                        <a:ln w="25400" cap="flat" cmpd="sng" algn="ctr">
                          <a:solidFill>
                            <a:srgbClr val="BED6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310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222pt;margin-top:29.1pt;width: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" adj="17280" fillcolor="#156570" strokecolor="#8b9d00" strokeweight="2pt"/>
            </w:pict>
          </mc:Fallback>
        </mc:AlternateContent>
      </w:r>
      <w:r>
        <w:rPr>
          <w:rFonts w:asciiTheme="minorHAnsi" w:hAnsiTheme="minorHAnsi"/>
          <w:noProof/>
          <w:sz w:val="22"/>
        </w:rPr>
        <mc:AlternateContent>
          <mc:Choice Requires="wps">
            <w:drawing>
              <wp:anchor distT="0" distB="0" distL="114300" distR="114300" simplePos="0" relativeHeight="251671552" behindDoc="0" locked="0" layoutInCell="1" allowOverlap="1" wp14:anchorId="2F686E77" wp14:editId="54629BC7">
                <wp:simplePos x="0" y="0"/>
                <wp:positionH relativeFrom="column">
                  <wp:posOffset>4972050</wp:posOffset>
                </wp:positionH>
                <wp:positionV relativeFrom="paragraph">
                  <wp:posOffset>312420</wp:posOffset>
                </wp:positionV>
                <wp:extent cx="123825" cy="238125"/>
                <wp:effectExtent l="19050" t="0" r="47625" b="47625"/>
                <wp:wrapNone/>
                <wp:docPr id="20" name="Arrow: Down 20"/>
                <wp:cNvGraphicFramePr/>
                <a:graphic xmlns:a="http://schemas.openxmlformats.org/drawingml/2006/main">
                  <a:graphicData uri="http://schemas.microsoft.com/office/word/2010/wordprocessingShape">
                    <wps:wsp>
                      <wps:cNvSpPr/>
                      <wps:spPr>
                        <a:xfrm>
                          <a:off x="0" y="0"/>
                          <a:ext cx="123825" cy="238125"/>
                        </a:xfrm>
                        <a:prstGeom prst="downArrow">
                          <a:avLst/>
                        </a:prstGeom>
                        <a:solidFill>
                          <a:srgbClr val="156570"/>
                        </a:solidFill>
                        <a:ln w="25400" cap="flat" cmpd="sng" algn="ctr">
                          <a:solidFill>
                            <a:srgbClr val="BED6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20DC" id="Arrow: Down 20" o:spid="_x0000_s1026" type="#_x0000_t67" style="position:absolute;margin-left:391.5pt;margin-top:24.6pt;width:9.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" adj="15984" fillcolor="#156570" strokecolor="#8b9d00" strokeweight="2pt"/>
            </w:pict>
          </mc:Fallback>
        </mc:AlternateContent>
      </w:r>
      <w:r>
        <w:rPr>
          <w:rFonts w:asciiTheme="minorHAnsi" w:hAnsiTheme="minorHAnsi"/>
          <w:noProof/>
          <w:sz w:val="22"/>
        </w:rPr>
        <mc:AlternateContent>
          <mc:Choice Requires="wps">
            <w:drawing>
              <wp:anchor distT="0" distB="0" distL="114300" distR="114300" simplePos="0" relativeHeight="251674624" behindDoc="0" locked="0" layoutInCell="1" allowOverlap="1" wp14:anchorId="65FF053F" wp14:editId="03792792">
                <wp:simplePos x="0" y="0"/>
                <wp:positionH relativeFrom="margin">
                  <wp:posOffset>2828925</wp:posOffset>
                </wp:positionH>
                <wp:positionV relativeFrom="paragraph">
                  <wp:posOffset>1346835</wp:posOffset>
                </wp:positionV>
                <wp:extent cx="145415" cy="171450"/>
                <wp:effectExtent l="19050" t="0" r="26035" b="38100"/>
                <wp:wrapNone/>
                <wp:docPr id="5" name="Arrow: Down 1"/>
                <wp:cNvGraphicFramePr/>
                <a:graphic xmlns:a="http://schemas.openxmlformats.org/drawingml/2006/main">
                  <a:graphicData uri="http://schemas.microsoft.com/office/word/2010/wordprocessingShape">
                    <wps:wsp>
                      <wps:cNvSpPr/>
                      <wps:spPr>
                        <a:xfrm>
                          <a:off x="0" y="0"/>
                          <a:ext cx="145415" cy="171450"/>
                        </a:xfrm>
                        <a:prstGeom prst="downArrow">
                          <a:avLst/>
                        </a:prstGeom>
                        <a:solidFill>
                          <a:srgbClr val="156570"/>
                        </a:solidFill>
                        <a:ln w="25400" cap="flat" cmpd="sng" algn="ctr">
                          <a:solidFill>
                            <a:srgbClr val="BED6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04650" id="Arrow: Down 1" o:spid="_x0000_s1026" type="#_x0000_t67" style="position:absolute;margin-left:222.75pt;margin-top:106.05pt;width:11.4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" adj="12440" fillcolor="#156570" strokecolor="#8b9d00" strokeweight="2pt">
                <w10:wrap anchorx="margin"/>
              </v:shape>
            </w:pict>
          </mc:Fallback>
        </mc:AlternateContent>
      </w:r>
      <w:r>
        <w:rPr>
          <w:rFonts w:asciiTheme="minorHAnsi" w:hAnsiTheme="minorHAnsi"/>
          <w:noProof/>
          <w:sz w:val="22"/>
        </w:rPr>
        <mc:AlternateContent>
          <mc:Choice Requires="wps">
            <w:drawing>
              <wp:anchor distT="0" distB="0" distL="114300" distR="114300" simplePos="0" relativeHeight="251676672" behindDoc="0" locked="0" layoutInCell="1" allowOverlap="1" wp14:anchorId="59EFABCF" wp14:editId="5A9EFEA3">
                <wp:simplePos x="0" y="0"/>
                <wp:positionH relativeFrom="rightMargin">
                  <wp:align>left</wp:align>
                </wp:positionH>
                <wp:positionV relativeFrom="paragraph">
                  <wp:posOffset>331470</wp:posOffset>
                </wp:positionV>
                <wp:extent cx="95250" cy="1104900"/>
                <wp:effectExtent l="19050" t="0" r="38100" b="38100"/>
                <wp:wrapNone/>
                <wp:docPr id="19" name="Arrow: Down 19"/>
                <wp:cNvGraphicFramePr/>
                <a:graphic xmlns:a="http://schemas.openxmlformats.org/drawingml/2006/main">
                  <a:graphicData uri="http://schemas.microsoft.com/office/word/2010/wordprocessingShape">
                    <wps:wsp>
                      <wps:cNvSpPr/>
                      <wps:spPr>
                        <a:xfrm>
                          <a:off x="0" y="0"/>
                          <a:ext cx="95250" cy="1104900"/>
                        </a:xfrm>
                        <a:prstGeom prst="downArrow">
                          <a:avLst/>
                        </a:prstGeom>
                        <a:solidFill>
                          <a:srgbClr val="156570"/>
                        </a:solidFill>
                        <a:ln w="25400" cap="flat" cmpd="sng" algn="ctr">
                          <a:solidFill>
                            <a:srgbClr val="BED6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98474" id="Arrow: Down 19" o:spid="_x0000_s1026" type="#_x0000_t67" style="position:absolute;margin-left:0;margin-top:26.1pt;width:7.5pt;height:87pt;z-index:2516766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" adj="20669" fillcolor="#156570" strokecolor="#8b9d00" strokeweight="2pt">
                <w10:wrap anchorx="margin"/>
              </v:shape>
            </w:pict>
          </mc:Fallback>
        </mc:AlternateContent>
      </w:r>
    </w:p>
    <w:p w:rsidR="00F33FB3" w:rsidRDefault="00F33FB3" w:rsidP="00F33FB3">
      <w:pPr>
        <w:jc w:val="both"/>
        <w:rPr>
          <w:rFonts w:eastAsia="Calibri" w:cs="Arial"/>
          <w:color w:val="394A58"/>
          <w:szCs w:val="20"/>
        </w:rPr>
      </w:pPr>
    </w:p>
    <w:p w:rsidR="00F33FB3" w:rsidRDefault="00F33FB3" w:rsidP="00F33FB3">
      <w:pPr>
        <w:jc w:val="both"/>
        <w:rPr>
          <w:rFonts w:eastAsia="Calibri" w:cs="Arial"/>
          <w:color w:val="394A58"/>
          <w:szCs w:val="20"/>
        </w:rPr>
      </w:pPr>
    </w:p>
    <w:p w:rsidR="00F33FB3" w:rsidRDefault="00F33FB3" w:rsidP="00F33FB3">
      <w:pPr>
        <w:jc w:val="both"/>
        <w:rPr>
          <w:rFonts w:eastAsia="Calibri" w:cs="Arial"/>
          <w:color w:val="394A58"/>
          <w:szCs w:val="20"/>
        </w:rPr>
      </w:pPr>
      <w:r>
        <w:rPr>
          <w:rFonts w:asciiTheme="minorHAnsi" w:hAnsiTheme="minorHAnsi"/>
          <w:noProof/>
          <w:sz w:val="22"/>
        </w:rPr>
        <mc:AlternateContent>
          <mc:Choice Requires="wps">
            <w:drawing>
              <wp:anchor distT="0" distB="0" distL="114300" distR="114300" simplePos="0" relativeHeight="251666432" behindDoc="0" locked="0" layoutInCell="1" allowOverlap="1" wp14:anchorId="209B9646" wp14:editId="0BE0B3DB">
                <wp:simplePos x="0" y="0"/>
                <wp:positionH relativeFrom="margin">
                  <wp:posOffset>4405630</wp:posOffset>
                </wp:positionH>
                <wp:positionV relativeFrom="paragraph">
                  <wp:posOffset>110490</wp:posOffset>
                </wp:positionV>
                <wp:extent cx="1571625" cy="747395"/>
                <wp:effectExtent l="0" t="0" r="28575" b="14605"/>
                <wp:wrapNone/>
                <wp:docPr id="7" name="Rectangle: Rounded Corners 4"/>
                <wp:cNvGraphicFramePr/>
                <a:graphic xmlns:a="http://schemas.openxmlformats.org/drawingml/2006/main">
                  <a:graphicData uri="http://schemas.microsoft.com/office/word/2010/wordprocessingShape">
                    <wps:wsp>
                      <wps:cNvSpPr/>
                      <wps:spPr>
                        <a:xfrm>
                          <a:off x="0" y="0"/>
                          <a:ext cx="1571625" cy="747395"/>
                        </a:xfrm>
                        <a:prstGeom prst="roundRect">
                          <a:avLst/>
                        </a:prstGeom>
                        <a:solidFill>
                          <a:srgbClr val="394A58">
                            <a:lumMod val="20000"/>
                            <a:lumOff val="80000"/>
                          </a:srgbClr>
                        </a:solidFill>
                        <a:ln w="25400" cap="flat" cmpd="sng" algn="ctr">
                          <a:solidFill>
                            <a:srgbClr val="BED600">
                              <a:shade val="50000"/>
                            </a:srgbClr>
                          </a:solidFill>
                          <a:prstDash val="solid"/>
                        </a:ln>
                        <a:effectLst/>
                      </wps:spPr>
                      <wps:txbx>
                        <w:txbxContent>
                          <w:p w:rsidR="00F33FB3" w:rsidRDefault="00F33FB3" w:rsidP="00F33FB3">
                            <w:pPr>
                              <w:jc w:val="center"/>
                              <w:rPr>
                                <w:b/>
                              </w:rPr>
                            </w:pPr>
                            <w:r>
                              <w:rPr>
                                <w:b/>
                                <w:sz w:val="18"/>
                                <w:szCs w:val="18"/>
                              </w:rPr>
                              <w:t xml:space="preserve">Gross Replacement Asset Value, Net Replacement Asset Value, Cost of Capital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A2806" id="Rectangle: Rounded Corners 4" o:spid="_x0000_s1032" style="position:absolute;left:0;text-align:left;margin-left:346.9pt;margin-top:8.7pt;width:123.75pt;height:58.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" fillcolor="#d3dbe2" strokecolor="#8b9d00" strokeweight="2pt">
                <v:textbox>
                  <w:txbxContent>
                    <w:p w:rsidR="00F33FB3" w:rsidRDefault="00F33FB3" w:rsidP="00F33FB3">
                      <w:pPr>
                        <w:jc w:val="center"/>
                        <w:rPr>
                          <w:b/>
                        </w:rPr>
                      </w:pPr>
                      <w:r>
                        <w:rPr>
                          <w:b/>
                          <w:sz w:val="18"/>
                          <w:szCs w:val="18"/>
                        </w:rPr>
                        <w:t xml:space="preserve">Gross Replacement Asset Value, Net Replacement Asset Value, Cost of Capital </w:t>
                      </w:r>
                    </w:p>
                  </w:txbxContent>
                </v:textbox>
                <w10:wrap anchorx="margin"/>
              </v:roundrect>
            </w:pict>
          </mc:Fallback>
        </mc:AlternateContent>
      </w:r>
    </w:p>
    <w:p w:rsidR="00F33FB3" w:rsidRDefault="00F33FB3" w:rsidP="00F33FB3">
      <w:pPr>
        <w:jc w:val="both"/>
        <w:rPr>
          <w:rFonts w:eastAsia="Calibri" w:cs="Arial"/>
          <w:color w:val="394A58"/>
          <w:szCs w:val="20"/>
        </w:rPr>
      </w:pPr>
      <w:r>
        <w:rPr>
          <w:rFonts w:asciiTheme="minorHAnsi" w:hAnsiTheme="minorHAnsi"/>
          <w:noProof/>
          <w:sz w:val="22"/>
        </w:rPr>
        <mc:AlternateContent>
          <mc:Choice Requires="wps">
            <w:drawing>
              <wp:anchor distT="0" distB="0" distL="114300" distR="114300" simplePos="0" relativeHeight="251668480" behindDoc="0" locked="0" layoutInCell="1" allowOverlap="1" wp14:anchorId="4660836B" wp14:editId="7F9E75CF">
                <wp:simplePos x="0" y="0"/>
                <wp:positionH relativeFrom="margin">
                  <wp:posOffset>190500</wp:posOffset>
                </wp:positionH>
                <wp:positionV relativeFrom="paragraph">
                  <wp:posOffset>78105</wp:posOffset>
                </wp:positionV>
                <wp:extent cx="1476375" cy="6953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1476375" cy="695325"/>
                        </a:xfrm>
                        <a:prstGeom prst="roundRect">
                          <a:avLst/>
                        </a:prstGeom>
                        <a:solidFill>
                          <a:srgbClr val="394A58">
                            <a:lumMod val="20000"/>
                            <a:lumOff val="80000"/>
                          </a:srgbClr>
                        </a:solidFill>
                        <a:ln w="25400" cap="flat" cmpd="sng" algn="ctr">
                          <a:solidFill>
                            <a:srgbClr val="BED600">
                              <a:shade val="50000"/>
                            </a:srgbClr>
                          </a:solidFill>
                          <a:prstDash val="solid"/>
                        </a:ln>
                        <a:effectLst/>
                      </wps:spPr>
                      <wps:txbx>
                        <w:txbxContent>
                          <w:p w:rsidR="00F33FB3" w:rsidRDefault="00F33FB3" w:rsidP="00F33FB3">
                            <w:pPr>
                              <w:jc w:val="center"/>
                              <w:rPr>
                                <w:b/>
                                <w:sz w:val="18"/>
                                <w:szCs w:val="18"/>
                              </w:rPr>
                            </w:pPr>
                            <w:r>
                              <w:rPr>
                                <w:b/>
                                <w:sz w:val="18"/>
                                <w:szCs w:val="18"/>
                              </w:rPr>
                              <w:t>Operation and Maintenance Expense, Working Capital, Tax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E4045" id="Rectangle: Rounded Corners 3" o:spid="_x0000_s1033" style="position:absolute;left:0;text-align:left;margin-left:15pt;margin-top:6.15pt;width:116.25pt;height:5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" fillcolor="#d3dbe2" strokecolor="#8b9d00" strokeweight="2pt">
                <v:textbox>
                  <w:txbxContent>
                    <w:p w:rsidR="00F33FB3" w:rsidRDefault="00F33FB3" w:rsidP="00F33FB3">
                      <w:pPr>
                        <w:jc w:val="center"/>
                        <w:rPr>
                          <w:b/>
                          <w:sz w:val="18"/>
                          <w:szCs w:val="18"/>
                        </w:rPr>
                      </w:pPr>
                      <w:r>
                        <w:rPr>
                          <w:b/>
                          <w:sz w:val="18"/>
                          <w:szCs w:val="18"/>
                        </w:rPr>
                        <w:t>Operation and Maintenance Expense, Working Capital, Tax</w:t>
                      </w:r>
                    </w:p>
                  </w:txbxContent>
                </v:textbox>
                <w10:wrap anchorx="margin"/>
              </v:roundrect>
            </w:pict>
          </mc:Fallback>
        </mc:AlternateContent>
      </w:r>
    </w:p>
    <w:p w:rsidR="00F33FB3" w:rsidRDefault="00F33FB3" w:rsidP="00F33FB3">
      <w:pPr>
        <w:jc w:val="both"/>
        <w:rPr>
          <w:rFonts w:eastAsia="Calibri" w:cs="Arial"/>
          <w:color w:val="394A58"/>
          <w:szCs w:val="20"/>
        </w:rPr>
      </w:pPr>
      <w:r>
        <w:rPr>
          <w:rFonts w:asciiTheme="minorHAnsi" w:hAnsiTheme="minorHAnsi"/>
          <w:noProof/>
          <w:sz w:val="22"/>
        </w:rPr>
        <mc:AlternateContent>
          <mc:Choice Requires="wps">
            <w:drawing>
              <wp:anchor distT="0" distB="0" distL="114300" distR="114300" simplePos="0" relativeHeight="251672576" behindDoc="0" locked="0" layoutInCell="1" allowOverlap="1" wp14:anchorId="7D1A9383" wp14:editId="7F99F89B">
                <wp:simplePos x="0" y="0"/>
                <wp:positionH relativeFrom="column">
                  <wp:posOffset>4114800</wp:posOffset>
                </wp:positionH>
                <wp:positionV relativeFrom="paragraph">
                  <wp:posOffset>139065</wp:posOffset>
                </wp:positionV>
                <wp:extent cx="285750" cy="133350"/>
                <wp:effectExtent l="0" t="0" r="19050" b="19050"/>
                <wp:wrapNone/>
                <wp:docPr id="2" name="Arrow: Left 2"/>
                <wp:cNvGraphicFramePr/>
                <a:graphic xmlns:a="http://schemas.openxmlformats.org/drawingml/2006/main">
                  <a:graphicData uri="http://schemas.microsoft.com/office/word/2010/wordprocessingShape">
                    <wps:wsp>
                      <wps:cNvSpPr/>
                      <wps:spPr>
                        <a:xfrm>
                          <a:off x="0" y="0"/>
                          <a:ext cx="285750" cy="133350"/>
                        </a:xfrm>
                        <a:prstGeom prst="leftArrow">
                          <a:avLst/>
                        </a:prstGeom>
                        <a:solidFill>
                          <a:srgbClr val="156570"/>
                        </a:solidFill>
                        <a:ln w="25400" cap="flat" cmpd="sng" algn="ctr">
                          <a:solidFill>
                            <a:srgbClr val="BED6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DEB1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324pt;margin-top:10.95pt;width:2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" adj="5040" fillcolor="#156570" strokecolor="#8b9d00" strokeweight="2pt"/>
            </w:pict>
          </mc:Fallback>
        </mc:AlternateContent>
      </w:r>
    </w:p>
    <w:p w:rsidR="00F33FB3" w:rsidRDefault="00F33FB3" w:rsidP="00F33FB3">
      <w:pPr>
        <w:jc w:val="both"/>
        <w:rPr>
          <w:rFonts w:eastAsia="Calibri" w:cs="Arial"/>
          <w:color w:val="394A58"/>
          <w:szCs w:val="20"/>
        </w:rPr>
      </w:pPr>
      <w:r>
        <w:rPr>
          <w:rFonts w:asciiTheme="minorHAnsi" w:hAnsiTheme="minorHAnsi"/>
          <w:noProof/>
          <w:sz w:val="22"/>
        </w:rPr>
        <mc:AlternateContent>
          <mc:Choice Requires="wps">
            <w:drawing>
              <wp:anchor distT="0" distB="0" distL="114300" distR="114300" simplePos="0" relativeHeight="251673600" behindDoc="0" locked="0" layoutInCell="1" allowOverlap="1" wp14:anchorId="50E3416D" wp14:editId="3951DAD3">
                <wp:simplePos x="0" y="0"/>
                <wp:positionH relativeFrom="column">
                  <wp:posOffset>1695450</wp:posOffset>
                </wp:positionH>
                <wp:positionV relativeFrom="paragraph">
                  <wp:posOffset>21590</wp:posOffset>
                </wp:positionV>
                <wp:extent cx="333375" cy="133350"/>
                <wp:effectExtent l="0" t="19050" r="47625" b="38100"/>
                <wp:wrapNone/>
                <wp:docPr id="25" name="Arrow: Right 25"/>
                <wp:cNvGraphicFramePr/>
                <a:graphic xmlns:a="http://schemas.openxmlformats.org/drawingml/2006/main">
                  <a:graphicData uri="http://schemas.microsoft.com/office/word/2010/wordprocessingShape">
                    <wps:wsp>
                      <wps:cNvSpPr/>
                      <wps:spPr>
                        <a:xfrm>
                          <a:off x="0" y="0"/>
                          <a:ext cx="333375" cy="133350"/>
                        </a:xfrm>
                        <a:prstGeom prst="rightArrow">
                          <a:avLst/>
                        </a:prstGeom>
                        <a:solidFill>
                          <a:srgbClr val="156570"/>
                        </a:solidFill>
                        <a:ln w="25400" cap="flat" cmpd="sng" algn="ctr">
                          <a:solidFill>
                            <a:srgbClr val="BED6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34D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26" type="#_x0000_t13" style="position:absolute;margin-left:133.5pt;margin-top:1.7pt;width:26.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" adj="17280" fillcolor="#156570" strokecolor="#8b9d00" strokeweight="2pt"/>
            </w:pict>
          </mc:Fallback>
        </mc:AlternateContent>
      </w:r>
    </w:p>
    <w:p w:rsidR="00F33FB3" w:rsidRDefault="00F33FB3" w:rsidP="00F33FB3">
      <w:pPr>
        <w:jc w:val="both"/>
        <w:rPr>
          <w:rFonts w:eastAsia="Calibri" w:cs="Arial"/>
          <w:color w:val="394A58"/>
          <w:szCs w:val="20"/>
        </w:rPr>
      </w:pPr>
    </w:p>
    <w:p w:rsidR="00F33FB3" w:rsidRDefault="00F33FB3" w:rsidP="00F33FB3">
      <w:pPr>
        <w:jc w:val="both"/>
        <w:rPr>
          <w:rFonts w:eastAsia="Calibri" w:cs="Arial"/>
          <w:color w:val="394A58"/>
          <w:szCs w:val="20"/>
        </w:rPr>
      </w:pPr>
    </w:p>
    <w:p w:rsidR="00F33FB3" w:rsidRDefault="00F33FB3" w:rsidP="00F33FB3">
      <w:pPr>
        <w:jc w:val="both"/>
        <w:rPr>
          <w:rFonts w:eastAsia="Calibri" w:cs="Arial"/>
          <w:color w:val="394A58"/>
          <w:szCs w:val="20"/>
        </w:rPr>
      </w:pPr>
    </w:p>
    <w:p w:rsidR="00F33FB3" w:rsidRDefault="00F33FB3" w:rsidP="00F33FB3">
      <w:pPr>
        <w:pStyle w:val="ListParagraph"/>
        <w:rPr>
          <w:rFonts w:eastAsia="Calibri" w:cs="Arial"/>
          <w:b/>
          <w:bCs/>
          <w:color w:val="156570"/>
        </w:rPr>
      </w:pPr>
      <w:r>
        <w:rPr>
          <w:rFonts w:asciiTheme="minorHAnsi" w:hAnsiTheme="minorHAnsi"/>
          <w:noProof/>
          <w:sz w:val="22"/>
        </w:rPr>
        <mc:AlternateContent>
          <mc:Choice Requires="wps">
            <w:drawing>
              <wp:anchor distT="0" distB="0" distL="114300" distR="114300" simplePos="0" relativeHeight="251675648" behindDoc="0" locked="0" layoutInCell="1" allowOverlap="1" wp14:anchorId="14449D88" wp14:editId="275C2BD2">
                <wp:simplePos x="0" y="0"/>
                <wp:positionH relativeFrom="page">
                  <wp:posOffset>5486400</wp:posOffset>
                </wp:positionH>
                <wp:positionV relativeFrom="paragraph">
                  <wp:posOffset>20955</wp:posOffset>
                </wp:positionV>
                <wp:extent cx="1724025" cy="571500"/>
                <wp:effectExtent l="0" t="0" r="28575" b="19050"/>
                <wp:wrapNone/>
                <wp:docPr id="224" name="Rectangle: Rounded Corners 224"/>
                <wp:cNvGraphicFramePr/>
                <a:graphic xmlns:a="http://schemas.openxmlformats.org/drawingml/2006/main">
                  <a:graphicData uri="http://schemas.microsoft.com/office/word/2010/wordprocessingShape">
                    <wps:wsp>
                      <wps:cNvSpPr/>
                      <wps:spPr>
                        <a:xfrm>
                          <a:off x="0" y="0"/>
                          <a:ext cx="1724025" cy="571500"/>
                        </a:xfrm>
                        <a:prstGeom prst="roundRect">
                          <a:avLst/>
                        </a:prstGeom>
                        <a:solidFill>
                          <a:srgbClr val="394A58">
                            <a:lumMod val="20000"/>
                            <a:lumOff val="80000"/>
                          </a:srgbClr>
                        </a:solidFill>
                        <a:ln w="25400" cap="flat" cmpd="sng" algn="ctr">
                          <a:solidFill>
                            <a:srgbClr val="BED600">
                              <a:shade val="50000"/>
                            </a:srgbClr>
                          </a:solidFill>
                          <a:prstDash val="solid"/>
                        </a:ln>
                        <a:effectLst/>
                      </wps:spPr>
                      <wps:txbx>
                        <w:txbxContent>
                          <w:p w:rsidR="00F33FB3" w:rsidRDefault="00F33FB3" w:rsidP="00F33FB3">
                            <w:pPr>
                              <w:jc w:val="center"/>
                              <w:rPr>
                                <w:b/>
                                <w:sz w:val="18"/>
                                <w:szCs w:val="18"/>
                              </w:rPr>
                            </w:pPr>
                            <w:r>
                              <w:rPr>
                                <w:b/>
                                <w:sz w:val="18"/>
                                <w:szCs w:val="18"/>
                              </w:rPr>
                              <w:t xml:space="preserve">Network Loss Compensation, Reactive Power Charge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868C4" id="Rectangle: Rounded Corners 224" o:spid="_x0000_s1034" style="position:absolute;left:0;text-align:left;margin-left:6in;margin-top:1.65pt;width:135.75pt;height: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" fillcolor="#d3dbe2" strokecolor="#8b9d00" strokeweight="2pt">
                <v:textbox>
                  <w:txbxContent>
                    <w:p w:rsidR="00F33FB3" w:rsidRDefault="00F33FB3" w:rsidP="00F33FB3">
                      <w:pPr>
                        <w:jc w:val="center"/>
                        <w:rPr>
                          <w:b/>
                          <w:sz w:val="18"/>
                          <w:szCs w:val="18"/>
                        </w:rPr>
                      </w:pPr>
                      <w:r>
                        <w:rPr>
                          <w:b/>
                          <w:sz w:val="18"/>
                          <w:szCs w:val="18"/>
                        </w:rPr>
                        <w:t xml:space="preserve">Network Loss Compensation, Reactive Power Charge </w:t>
                      </w:r>
                    </w:p>
                  </w:txbxContent>
                </v:textbox>
                <w10:wrap anchorx="page"/>
              </v:roundrect>
            </w:pict>
          </mc:Fallback>
        </mc:AlternateContent>
      </w:r>
    </w:p>
    <w:p w:rsidR="00F33FB3" w:rsidRPr="005B17AF" w:rsidRDefault="00F33FB3" w:rsidP="00F33FB3">
      <w:pPr>
        <w:keepNext/>
        <w:keepLines/>
        <w:spacing w:before="360" w:after="40"/>
        <w:rPr>
          <w:rFonts w:eastAsia="SimSun"/>
          <w:b/>
          <w:bCs/>
          <w:color w:val="156570"/>
          <w:sz w:val="22"/>
        </w:rPr>
      </w:pPr>
    </w:p>
    <w:p w:rsidR="00F33FB3" w:rsidRPr="00F33FB3" w:rsidRDefault="00F33FB3" w:rsidP="00F33FB3">
      <w:pPr>
        <w:pStyle w:val="ListParagraph"/>
        <w:keepNext/>
        <w:keepLines/>
        <w:numPr>
          <w:ilvl w:val="0"/>
          <w:numId w:val="11"/>
        </w:numPr>
        <w:spacing w:before="360" w:after="40"/>
        <w:ind w:left="567" w:hanging="567"/>
        <w:jc w:val="both"/>
        <w:outlineLvl w:val="1"/>
        <w:rPr>
          <w:rFonts w:ascii="Arial" w:eastAsia="SimSun" w:hAnsi="Arial" w:cs="Arial"/>
          <w:b/>
          <w:bCs/>
        </w:rPr>
      </w:pPr>
      <w:r w:rsidRPr="00F33FB3">
        <w:rPr>
          <w:rFonts w:ascii="Arial" w:eastAsia="SimSun" w:hAnsi="Arial" w:cs="Arial"/>
          <w:b/>
          <w:bCs/>
        </w:rPr>
        <w:t>Principles Underlying Determination of Main Tariff Cost Components</w:t>
      </w:r>
    </w:p>
    <w:p w:rsidR="00F33FB3" w:rsidRPr="00F33FB3" w:rsidRDefault="00F33FB3" w:rsidP="00F33FB3">
      <w:pPr>
        <w:pStyle w:val="ListParagraph"/>
        <w:jc w:val="both"/>
        <w:rPr>
          <w:rFonts w:ascii="Arial" w:eastAsia="Calibri" w:hAnsi="Arial" w:cs="Arial"/>
          <w:b/>
          <w:bCs/>
        </w:rPr>
      </w:pPr>
    </w:p>
    <w:p w:rsidR="00F33FB3" w:rsidRPr="00F33FB3" w:rsidRDefault="00F33FB3" w:rsidP="00F33FB3">
      <w:pPr>
        <w:pStyle w:val="ListParagraph"/>
        <w:numPr>
          <w:ilvl w:val="1"/>
          <w:numId w:val="11"/>
        </w:numPr>
        <w:jc w:val="both"/>
        <w:outlineLvl w:val="1"/>
        <w:rPr>
          <w:rFonts w:ascii="Arial" w:eastAsia="Calibri" w:hAnsi="Arial" w:cs="Arial"/>
          <w:b/>
          <w:bCs/>
        </w:rPr>
      </w:pPr>
      <w:r w:rsidRPr="00F33FB3">
        <w:rPr>
          <w:rFonts w:ascii="Arial" w:eastAsia="Calibri" w:hAnsi="Arial" w:cs="Arial"/>
          <w:b/>
          <w:bCs/>
        </w:rPr>
        <w:t>Asset Value</w:t>
      </w:r>
    </w:p>
    <w:p w:rsidR="00F33FB3" w:rsidRPr="00F33FB3" w:rsidRDefault="00F33FB3" w:rsidP="00F33FB3">
      <w:pPr>
        <w:autoSpaceDE w:val="0"/>
        <w:autoSpaceDN w:val="0"/>
        <w:adjustRightInd w:val="0"/>
        <w:jc w:val="both"/>
        <w:rPr>
          <w:rFonts w:ascii="Arial" w:eastAsia="Calibri" w:hAnsi="Arial" w:cs="Arial"/>
          <w:b/>
        </w:rPr>
      </w:pPr>
      <w:r w:rsidRPr="00F33FB3">
        <w:rPr>
          <w:rFonts w:ascii="Arial" w:eastAsia="Calibri" w:hAnsi="Arial" w:cs="Arial"/>
        </w:rPr>
        <w:t xml:space="preserve">The depreciated or net replacement cost has been used to calculate the transmission system asset value by taking into account data submitted by the TSOs, as well as well-researched international benchmark prices. </w:t>
      </w:r>
      <w:r w:rsidRPr="00F33FB3">
        <w:rPr>
          <w:rFonts w:ascii="Arial" w:eastAsia="Calibri" w:hAnsi="Arial" w:cs="Arial"/>
          <w:b/>
          <w:i/>
        </w:rPr>
        <w:t>The depreciated or net replacement cost seeks to estimate what it would cost to replace the existing stock of transmission assets with identical assets in the same condition.</w:t>
      </w:r>
      <w:r w:rsidRPr="00F33FB3">
        <w:rPr>
          <w:rFonts w:ascii="Arial" w:eastAsia="Calibri" w:hAnsi="Arial" w:cs="Arial"/>
        </w:rPr>
        <w:t xml:space="preserve"> The </w:t>
      </w:r>
      <w:r w:rsidRPr="00F33FB3">
        <w:rPr>
          <w:rFonts w:ascii="Arial" w:eastAsia="Calibri" w:hAnsi="Arial" w:cs="Arial"/>
          <w:b/>
        </w:rPr>
        <w:t>Regulatory Asset Base (RAB) is the Net Replacement Asset Value (NRAV)</w:t>
      </w:r>
      <w:r w:rsidRPr="00F33FB3">
        <w:rPr>
          <w:rFonts w:ascii="Arial" w:eastAsia="Calibri" w:hAnsi="Arial" w:cs="Arial"/>
        </w:rPr>
        <w:t xml:space="preserve"> and is calculated as the </w:t>
      </w:r>
      <w:r w:rsidRPr="00F33FB3">
        <w:rPr>
          <w:rFonts w:ascii="Arial" w:eastAsia="Calibri" w:hAnsi="Arial" w:cs="Arial"/>
          <w:b/>
          <w:i/>
        </w:rPr>
        <w:t>Gross Replacement Asset Value (GRAV)</w:t>
      </w:r>
      <w:r w:rsidRPr="00F33FB3">
        <w:rPr>
          <w:rFonts w:ascii="Arial" w:eastAsia="Calibri" w:hAnsi="Arial" w:cs="Arial"/>
          <w:i/>
        </w:rPr>
        <w:t xml:space="preserve"> less the accumulated depreciation.</w:t>
      </w:r>
      <w:r w:rsidRPr="00F33FB3">
        <w:rPr>
          <w:rFonts w:ascii="Arial" w:eastAsia="Calibri" w:hAnsi="Arial" w:cs="Arial"/>
        </w:rPr>
        <w:t xml:space="preserve"> </w:t>
      </w:r>
    </w:p>
    <w:p w:rsidR="00F33FB3" w:rsidRPr="00F33FB3" w:rsidRDefault="00F33FB3" w:rsidP="00F33FB3">
      <w:pPr>
        <w:pStyle w:val="ListParagraph"/>
        <w:keepNext/>
        <w:keepLines/>
        <w:numPr>
          <w:ilvl w:val="1"/>
          <w:numId w:val="11"/>
        </w:numPr>
        <w:spacing w:before="240" w:after="40"/>
        <w:contextualSpacing w:val="0"/>
        <w:jc w:val="both"/>
        <w:outlineLvl w:val="1"/>
        <w:rPr>
          <w:rFonts w:ascii="Arial" w:hAnsi="Arial" w:cs="Arial"/>
          <w:b/>
          <w:bCs/>
        </w:rPr>
      </w:pPr>
      <w:r w:rsidRPr="00F33FB3">
        <w:rPr>
          <w:rFonts w:ascii="Arial" w:hAnsi="Arial" w:cs="Arial"/>
          <w:b/>
          <w:bCs/>
        </w:rPr>
        <w:t>Determination of Fixed Asset Lives</w:t>
      </w:r>
    </w:p>
    <w:p w:rsidR="00F33FB3" w:rsidRPr="00F33FB3" w:rsidRDefault="00F33FB3" w:rsidP="00F33FB3">
      <w:pPr>
        <w:jc w:val="both"/>
        <w:rPr>
          <w:rFonts w:ascii="Arial" w:eastAsia="Calibri" w:hAnsi="Arial" w:cs="Arial"/>
          <w:b/>
        </w:rPr>
      </w:pPr>
      <w:r w:rsidRPr="00F33FB3">
        <w:rPr>
          <w:rFonts w:ascii="Arial" w:eastAsia="Calibri" w:hAnsi="Arial" w:cs="Arial"/>
        </w:rPr>
        <w:t xml:space="preserve">Stakeholders agreed that the regulatory principles of </w:t>
      </w:r>
      <w:r w:rsidRPr="00F33FB3">
        <w:rPr>
          <w:rFonts w:ascii="Arial" w:eastAsia="Calibri" w:hAnsi="Arial" w:cs="Arial"/>
          <w:b/>
          <w:i/>
        </w:rPr>
        <w:t xml:space="preserve">“used and useful” and “reasonableness and prudency”, </w:t>
      </w:r>
      <w:r w:rsidRPr="00F33FB3">
        <w:rPr>
          <w:rFonts w:ascii="Arial" w:eastAsia="Calibri" w:hAnsi="Arial" w:cs="Arial"/>
        </w:rPr>
        <w:t xml:space="preserve">should be used to determine the Regulatory Asset Value. </w:t>
      </w:r>
    </w:p>
    <w:p w:rsidR="00F33FB3" w:rsidRPr="00F33FB3" w:rsidRDefault="00F33FB3" w:rsidP="00F33FB3">
      <w:pPr>
        <w:pStyle w:val="ListParagraph"/>
        <w:keepNext/>
        <w:keepLines/>
        <w:numPr>
          <w:ilvl w:val="1"/>
          <w:numId w:val="11"/>
        </w:numPr>
        <w:spacing w:before="240"/>
        <w:jc w:val="both"/>
        <w:outlineLvl w:val="1"/>
        <w:rPr>
          <w:rFonts w:ascii="Arial" w:hAnsi="Arial" w:cs="Arial"/>
          <w:b/>
          <w:bCs/>
        </w:rPr>
      </w:pPr>
      <w:r w:rsidRPr="00F33FB3">
        <w:rPr>
          <w:rFonts w:ascii="Arial" w:hAnsi="Arial" w:cs="Arial"/>
          <w:b/>
          <w:bCs/>
        </w:rPr>
        <w:t xml:space="preserve">Depreciation </w:t>
      </w:r>
    </w:p>
    <w:p w:rsidR="00F33FB3" w:rsidRPr="00F33FB3" w:rsidRDefault="00F33FB3" w:rsidP="00F33FB3">
      <w:pPr>
        <w:autoSpaceDE w:val="0"/>
        <w:autoSpaceDN w:val="0"/>
        <w:adjustRightInd w:val="0"/>
        <w:jc w:val="both"/>
        <w:rPr>
          <w:rFonts w:ascii="Arial" w:eastAsia="Calibri" w:hAnsi="Arial" w:cs="Arial"/>
        </w:rPr>
      </w:pPr>
      <w:r w:rsidRPr="00F33FB3">
        <w:rPr>
          <w:rFonts w:ascii="Arial" w:eastAsia="Calibri" w:hAnsi="Arial" w:cs="Arial"/>
        </w:rPr>
        <w:t xml:space="preserve">The purpose of depreciation is to allocate the cost of an asset over the useful life of the asset. At the first technical workshop, stakeholders/experts suggested that the straight-line </w:t>
      </w:r>
      <w:r w:rsidRPr="00F33FB3">
        <w:rPr>
          <w:rFonts w:ascii="Arial" w:eastAsia="Calibri" w:hAnsi="Arial" w:cs="Arial"/>
        </w:rPr>
        <w:lastRenderedPageBreak/>
        <w:t xml:space="preserve">depreciation method which is considered to be the standard regulatory approach, should be used to calculate the depreciation expense. </w:t>
      </w:r>
    </w:p>
    <w:p w:rsidR="00F33FB3" w:rsidRPr="00F33FB3" w:rsidRDefault="00F33FB3" w:rsidP="00F33FB3">
      <w:pPr>
        <w:pStyle w:val="ListParagraph"/>
        <w:keepNext/>
        <w:keepLines/>
        <w:numPr>
          <w:ilvl w:val="1"/>
          <w:numId w:val="11"/>
        </w:numPr>
        <w:spacing w:before="240"/>
        <w:jc w:val="both"/>
        <w:outlineLvl w:val="0"/>
        <w:rPr>
          <w:rFonts w:ascii="Arial" w:eastAsia="SimSun" w:hAnsi="Arial" w:cs="Arial"/>
          <w:b/>
          <w:bCs/>
        </w:rPr>
      </w:pPr>
      <w:r w:rsidRPr="00F33FB3">
        <w:rPr>
          <w:rFonts w:ascii="Arial" w:hAnsi="Arial" w:cs="Arial"/>
          <w:b/>
          <w:bCs/>
        </w:rPr>
        <w:t>Working Capital Determination</w:t>
      </w:r>
    </w:p>
    <w:p w:rsidR="00F33FB3" w:rsidRPr="00F33FB3" w:rsidRDefault="00F33FB3" w:rsidP="00F33FB3">
      <w:pPr>
        <w:autoSpaceDE w:val="0"/>
        <w:autoSpaceDN w:val="0"/>
        <w:adjustRightInd w:val="0"/>
        <w:jc w:val="both"/>
        <w:rPr>
          <w:rFonts w:ascii="Arial" w:eastAsia="Calibri" w:hAnsi="Arial" w:cs="Arial"/>
        </w:rPr>
      </w:pPr>
      <w:r w:rsidRPr="00F33FB3">
        <w:rPr>
          <w:rFonts w:ascii="Arial" w:eastAsia="Calibri" w:hAnsi="Arial" w:cs="Arial"/>
        </w:rPr>
        <w:t>Working capital measures a company’s ability to pay off its current liabilities with current assets. Working capital shows how a firm’s short-term liquidity and assets are managed and therefore maintaining the right amount of working capital is important. It is a common regulatory practice to make allowance for working capital in the revenue requirements determination and this has been taken into account in the transmission tariff calculation.</w:t>
      </w:r>
    </w:p>
    <w:p w:rsidR="00F33FB3" w:rsidRPr="00F33FB3" w:rsidRDefault="00F33FB3" w:rsidP="00F33FB3">
      <w:pPr>
        <w:pStyle w:val="ListParagraph"/>
        <w:keepNext/>
        <w:keepLines/>
        <w:numPr>
          <w:ilvl w:val="1"/>
          <w:numId w:val="11"/>
        </w:numPr>
        <w:spacing w:before="240"/>
        <w:jc w:val="both"/>
        <w:outlineLvl w:val="0"/>
        <w:rPr>
          <w:rFonts w:ascii="Arial" w:eastAsia="SimSun" w:hAnsi="Arial" w:cs="Arial"/>
          <w:b/>
          <w:bCs/>
        </w:rPr>
      </w:pPr>
      <w:r w:rsidRPr="00F33FB3">
        <w:rPr>
          <w:rFonts w:ascii="Arial" w:eastAsia="SimSun" w:hAnsi="Arial" w:cs="Arial"/>
          <w:b/>
          <w:bCs/>
        </w:rPr>
        <w:t>Cost of Capital</w:t>
      </w:r>
    </w:p>
    <w:p w:rsidR="00F33FB3" w:rsidRPr="00F33FB3" w:rsidRDefault="00F33FB3" w:rsidP="00F33FB3">
      <w:pPr>
        <w:autoSpaceDE w:val="0"/>
        <w:autoSpaceDN w:val="0"/>
        <w:adjustRightInd w:val="0"/>
        <w:jc w:val="both"/>
        <w:rPr>
          <w:rFonts w:ascii="Arial" w:eastAsia="Calibri" w:hAnsi="Arial" w:cs="Arial"/>
        </w:rPr>
      </w:pPr>
      <w:r w:rsidRPr="00F33FB3">
        <w:rPr>
          <w:rFonts w:ascii="Arial" w:eastAsia="Calibri" w:hAnsi="Arial" w:cs="Arial"/>
        </w:rPr>
        <w:t xml:space="preserve">Although the actual cost of capital may differ for the various countries involved in the international bilateral power transactions, for the sake of simplicity and as suggested by stakeholders at all the technical workshops, a single WACC has been used to calculate the transmission tariff. In calculating the transmission tariff, the </w:t>
      </w:r>
      <w:r w:rsidRPr="00F33FB3">
        <w:rPr>
          <w:rFonts w:ascii="Arial" w:eastAsia="Calibri" w:hAnsi="Arial" w:cs="Arial"/>
          <w:b/>
        </w:rPr>
        <w:t>Vanilla WACC</w:t>
      </w:r>
      <w:r w:rsidRPr="00F33FB3">
        <w:rPr>
          <w:rFonts w:ascii="Arial" w:eastAsia="Calibri" w:hAnsi="Arial" w:cs="Arial"/>
        </w:rPr>
        <w:t xml:space="preserve">, which is the weighted average of the post-tax nominal return on equity and the pre-tax nominal return on debt has been used. With this approach, the post-tax cost of equity is not adjusted, but rather the assessment of </w:t>
      </w:r>
      <w:r w:rsidRPr="00F33FB3">
        <w:rPr>
          <w:rFonts w:ascii="Arial" w:eastAsia="Calibri" w:hAnsi="Arial" w:cs="Arial"/>
          <w:b/>
          <w:i/>
        </w:rPr>
        <w:t>likely tax liabilities is treated as a cash-flow item and added to the operating costs</w:t>
      </w:r>
      <w:r w:rsidRPr="00F33FB3">
        <w:rPr>
          <w:rFonts w:ascii="Arial" w:eastAsia="Calibri" w:hAnsi="Arial" w:cs="Arial"/>
        </w:rPr>
        <w:t xml:space="preserve">. </w:t>
      </w:r>
    </w:p>
    <w:p w:rsidR="00F33FB3" w:rsidRPr="00F33FB3" w:rsidRDefault="00F33FB3" w:rsidP="00F33FB3">
      <w:pPr>
        <w:autoSpaceDE w:val="0"/>
        <w:autoSpaceDN w:val="0"/>
        <w:adjustRightInd w:val="0"/>
        <w:jc w:val="both"/>
        <w:rPr>
          <w:rFonts w:ascii="Arial" w:eastAsia="Calibri" w:hAnsi="Arial" w:cs="Arial"/>
        </w:rPr>
      </w:pPr>
    </w:p>
    <w:p w:rsidR="00F33FB3" w:rsidRPr="00F33FB3" w:rsidRDefault="00F33FB3" w:rsidP="00F33FB3">
      <w:pPr>
        <w:pStyle w:val="ListParagraph"/>
        <w:keepNext/>
        <w:keepLines/>
        <w:numPr>
          <w:ilvl w:val="1"/>
          <w:numId w:val="11"/>
        </w:numPr>
        <w:jc w:val="both"/>
        <w:outlineLvl w:val="0"/>
        <w:rPr>
          <w:rFonts w:ascii="Arial" w:eastAsia="SimSun" w:hAnsi="Arial" w:cs="Arial"/>
          <w:b/>
          <w:bCs/>
        </w:rPr>
      </w:pPr>
      <w:r w:rsidRPr="00F33FB3">
        <w:rPr>
          <w:rFonts w:ascii="Arial" w:eastAsia="SimSun" w:hAnsi="Arial" w:cs="Arial"/>
          <w:b/>
          <w:bCs/>
        </w:rPr>
        <w:t>Operation and Maintenance Cost</w:t>
      </w:r>
    </w:p>
    <w:p w:rsidR="00F33FB3" w:rsidRPr="00F33FB3" w:rsidRDefault="00F33FB3" w:rsidP="00F33FB3">
      <w:pPr>
        <w:jc w:val="both"/>
        <w:rPr>
          <w:rFonts w:ascii="Arial" w:eastAsia="Calibri" w:hAnsi="Arial" w:cs="Arial"/>
          <w:b/>
          <w:i/>
        </w:rPr>
      </w:pPr>
      <w:r w:rsidRPr="00F33FB3">
        <w:rPr>
          <w:rFonts w:ascii="Arial" w:eastAsia="Calibri" w:hAnsi="Arial" w:cs="Arial"/>
        </w:rPr>
        <w:t xml:space="preserve">The level of operation and maintenance (O&amp;M) cost has been benchmarked as a percentage of the Gross Replacement Asset Value (GRAV). Taking cognizance of the range of values used in international electricity markets, </w:t>
      </w:r>
      <w:r w:rsidRPr="00F33FB3">
        <w:rPr>
          <w:rFonts w:ascii="Arial" w:eastAsia="Calibri" w:hAnsi="Arial" w:cs="Arial"/>
          <w:b/>
          <w:i/>
        </w:rPr>
        <w:t>the O&amp;M expense could be benchmarked between 2% and 5% of the Gross Asset Replacement Value of transmission assets for the tariff calculation.</w:t>
      </w:r>
    </w:p>
    <w:p w:rsidR="00F33FB3" w:rsidRPr="00F33FB3" w:rsidRDefault="00F33FB3" w:rsidP="00F33FB3">
      <w:pPr>
        <w:pStyle w:val="ListParagraph"/>
        <w:keepNext/>
        <w:keepLines/>
        <w:numPr>
          <w:ilvl w:val="0"/>
          <w:numId w:val="11"/>
        </w:numPr>
        <w:spacing w:before="360" w:after="40"/>
        <w:ind w:left="567" w:hanging="567"/>
        <w:jc w:val="both"/>
        <w:outlineLvl w:val="1"/>
        <w:rPr>
          <w:rFonts w:ascii="Arial" w:eastAsia="SimSun" w:hAnsi="Arial" w:cs="Arial"/>
          <w:b/>
          <w:bCs/>
        </w:rPr>
      </w:pPr>
      <w:r w:rsidRPr="00F33FB3">
        <w:rPr>
          <w:rFonts w:ascii="Arial" w:eastAsia="SimSun" w:hAnsi="Arial" w:cs="Arial"/>
          <w:b/>
          <w:bCs/>
        </w:rPr>
        <w:t>Load Flow Analysis and Implications for Determination of Transmission Tariff</w:t>
      </w:r>
    </w:p>
    <w:p w:rsidR="00F33FB3" w:rsidRPr="00F33FB3" w:rsidRDefault="00F33FB3" w:rsidP="00F33FB3">
      <w:pPr>
        <w:autoSpaceDE w:val="0"/>
        <w:autoSpaceDN w:val="0"/>
        <w:adjustRightInd w:val="0"/>
        <w:jc w:val="both"/>
        <w:rPr>
          <w:rFonts w:ascii="Arial" w:eastAsia="Calibri" w:hAnsi="Arial" w:cs="Arial"/>
        </w:rPr>
      </w:pPr>
      <w:r w:rsidRPr="00F33FB3">
        <w:rPr>
          <w:rFonts w:ascii="Arial" w:eastAsia="Calibri" w:hAnsi="Arial" w:cs="Arial"/>
        </w:rPr>
        <w:t xml:space="preserve">The aim of carrying out the load flow analysis is to ensure that each TSO receives its fair share of the revenue requirement, </w:t>
      </w:r>
      <w:r w:rsidRPr="00F33FB3">
        <w:rPr>
          <w:rFonts w:ascii="Arial" w:eastAsia="Calibri" w:hAnsi="Arial" w:cs="Arial"/>
          <w:b/>
          <w:i/>
        </w:rPr>
        <w:t>based on the transaction participation of each asset used for the transmission or wheeling services</w:t>
      </w:r>
      <w:r w:rsidRPr="00F33FB3">
        <w:rPr>
          <w:rFonts w:ascii="Arial" w:eastAsia="Calibri" w:hAnsi="Arial" w:cs="Arial"/>
        </w:rPr>
        <w:t>. The effective Regulatory Asset Base (RAB</w:t>
      </w:r>
      <w:r w:rsidRPr="00F33FB3">
        <w:rPr>
          <w:rFonts w:ascii="Arial" w:eastAsia="Calibri" w:hAnsi="Arial" w:cs="Arial"/>
          <w:vertAlign w:val="subscript"/>
        </w:rPr>
        <w:t>T</w:t>
      </w:r>
      <w:r w:rsidRPr="00F33FB3">
        <w:rPr>
          <w:rFonts w:ascii="Arial" w:eastAsia="Calibri" w:hAnsi="Arial" w:cs="Arial"/>
        </w:rPr>
        <w:t>) for calculating the TSO’s revenue requirements is determined as follows:</w:t>
      </w:r>
    </w:p>
    <w:p w:rsidR="00F33FB3" w:rsidRPr="00F33FB3" w:rsidRDefault="00F33FB3" w:rsidP="00F33FB3">
      <w:pPr>
        <w:autoSpaceDE w:val="0"/>
        <w:autoSpaceDN w:val="0"/>
        <w:adjustRightInd w:val="0"/>
        <w:jc w:val="both"/>
        <w:rPr>
          <w:rFonts w:ascii="Arial" w:eastAsia="Calibri" w:hAnsi="Arial" w:cs="Arial"/>
        </w:rPr>
      </w:pPr>
    </w:p>
    <w:p w:rsidR="00F33FB3" w:rsidRPr="00F33FB3" w:rsidRDefault="00F33FB3" w:rsidP="00F33FB3">
      <w:pPr>
        <w:autoSpaceDE w:val="0"/>
        <w:autoSpaceDN w:val="0"/>
        <w:adjustRightInd w:val="0"/>
        <w:jc w:val="both"/>
        <w:rPr>
          <w:rFonts w:ascii="Arial" w:eastAsia="Calibri" w:hAnsi="Arial" w:cs="Arial"/>
          <w:b/>
        </w:rPr>
      </w:pPr>
      <w:r w:rsidRPr="00F33FB3">
        <w:rPr>
          <w:rFonts w:ascii="Arial" w:eastAsia="Calibri" w:hAnsi="Arial" w:cs="Arial"/>
          <w:b/>
        </w:rPr>
        <w:t>RAB</w:t>
      </w:r>
      <w:r w:rsidRPr="00F33FB3">
        <w:rPr>
          <w:rFonts w:ascii="Arial" w:eastAsia="Calibri" w:hAnsi="Arial" w:cs="Arial"/>
          <w:b/>
          <w:vertAlign w:val="subscript"/>
        </w:rPr>
        <w:t>T</w:t>
      </w:r>
      <w:r w:rsidRPr="00F33FB3">
        <w:rPr>
          <w:rFonts w:ascii="Arial" w:eastAsia="Calibri" w:hAnsi="Arial" w:cs="Arial"/>
          <w:b/>
        </w:rPr>
        <w:t xml:space="preserve">    = {</w:t>
      </w:r>
      <w:proofErr w:type="spellStart"/>
      <w:r w:rsidRPr="00F33FB3">
        <w:rPr>
          <w:rFonts w:ascii="Arial" w:eastAsia="Calibri" w:hAnsi="Arial" w:cs="Arial"/>
          <w:b/>
        </w:rPr>
        <w:t>RAB</w:t>
      </w:r>
      <w:r w:rsidRPr="00F33FB3">
        <w:rPr>
          <w:rFonts w:ascii="Arial" w:eastAsia="Calibri" w:hAnsi="Arial" w:cs="Arial"/>
          <w:b/>
          <w:vertAlign w:val="subscript"/>
        </w:rPr>
        <w:t>Transformer</w:t>
      </w:r>
      <w:proofErr w:type="spellEnd"/>
      <w:r w:rsidRPr="00F33FB3">
        <w:rPr>
          <w:rFonts w:ascii="Arial" w:eastAsia="Calibri" w:hAnsi="Arial" w:cs="Arial"/>
          <w:b/>
        </w:rPr>
        <w:t xml:space="preserve"> + </w:t>
      </w:r>
      <w:proofErr w:type="spellStart"/>
      <w:r w:rsidRPr="00F33FB3">
        <w:rPr>
          <w:rFonts w:ascii="Arial" w:eastAsia="Calibri" w:hAnsi="Arial" w:cs="Arial"/>
          <w:b/>
        </w:rPr>
        <w:t>RAB</w:t>
      </w:r>
      <w:r w:rsidRPr="00F33FB3">
        <w:rPr>
          <w:rFonts w:ascii="Arial" w:eastAsia="Calibri" w:hAnsi="Arial" w:cs="Arial"/>
          <w:b/>
          <w:vertAlign w:val="subscript"/>
        </w:rPr>
        <w:t>Switchbay</w:t>
      </w:r>
      <w:proofErr w:type="spellEnd"/>
      <w:r w:rsidRPr="00F33FB3">
        <w:rPr>
          <w:rFonts w:ascii="Arial" w:eastAsia="Calibri" w:hAnsi="Arial" w:cs="Arial"/>
          <w:b/>
        </w:rPr>
        <w:t xml:space="preserve"> + </w:t>
      </w:r>
      <w:proofErr w:type="spellStart"/>
      <w:r w:rsidRPr="00F33FB3">
        <w:rPr>
          <w:rFonts w:ascii="Arial" w:eastAsia="Calibri" w:hAnsi="Arial" w:cs="Arial"/>
          <w:b/>
        </w:rPr>
        <w:t>RAB</w:t>
      </w:r>
      <w:r w:rsidRPr="00F33FB3">
        <w:rPr>
          <w:rFonts w:ascii="Arial" w:eastAsia="Calibri" w:hAnsi="Arial" w:cs="Arial"/>
          <w:b/>
          <w:vertAlign w:val="subscript"/>
        </w:rPr>
        <w:t>Transmission</w:t>
      </w:r>
      <w:proofErr w:type="spellEnd"/>
      <w:r w:rsidRPr="00F33FB3">
        <w:rPr>
          <w:rFonts w:ascii="Arial" w:eastAsia="Calibri" w:hAnsi="Arial" w:cs="Arial"/>
          <w:b/>
          <w:vertAlign w:val="subscript"/>
        </w:rPr>
        <w:t xml:space="preserve"> Line</w:t>
      </w:r>
      <w:r w:rsidRPr="00F33FB3">
        <w:rPr>
          <w:rFonts w:ascii="Arial" w:eastAsia="Calibri" w:hAnsi="Arial" w:cs="Arial"/>
          <w:b/>
        </w:rPr>
        <w:t>) x Load Flow Results</w:t>
      </w:r>
    </w:p>
    <w:p w:rsidR="00F33FB3" w:rsidRPr="00F33FB3" w:rsidRDefault="00F33FB3" w:rsidP="00F33FB3">
      <w:pPr>
        <w:autoSpaceDE w:val="0"/>
        <w:autoSpaceDN w:val="0"/>
        <w:adjustRightInd w:val="0"/>
        <w:jc w:val="both"/>
        <w:rPr>
          <w:rFonts w:ascii="Arial" w:eastAsia="Calibri" w:hAnsi="Arial" w:cs="Arial"/>
        </w:rPr>
      </w:pPr>
    </w:p>
    <w:p w:rsidR="00F33FB3" w:rsidRPr="00F33FB3" w:rsidRDefault="00F33FB3" w:rsidP="00F33FB3">
      <w:pPr>
        <w:autoSpaceDE w:val="0"/>
        <w:autoSpaceDN w:val="0"/>
        <w:adjustRightInd w:val="0"/>
        <w:jc w:val="both"/>
        <w:rPr>
          <w:rFonts w:ascii="Arial" w:eastAsia="Calibri" w:hAnsi="Arial" w:cs="Arial"/>
          <w:i/>
        </w:rPr>
      </w:pPr>
      <w:r w:rsidRPr="00F33FB3">
        <w:rPr>
          <w:rFonts w:ascii="Arial" w:eastAsia="Calibri" w:hAnsi="Arial" w:cs="Arial"/>
          <w:i/>
        </w:rPr>
        <w:t>RAB</w:t>
      </w:r>
      <w:r w:rsidRPr="00F33FB3">
        <w:rPr>
          <w:rFonts w:ascii="Arial" w:eastAsia="Calibri" w:hAnsi="Arial" w:cs="Arial"/>
          <w:i/>
          <w:vertAlign w:val="subscript"/>
        </w:rPr>
        <w:t>T</w:t>
      </w:r>
      <w:r w:rsidRPr="00F33FB3">
        <w:rPr>
          <w:rFonts w:ascii="Arial" w:eastAsia="Calibri" w:hAnsi="Arial" w:cs="Arial"/>
          <w:i/>
        </w:rPr>
        <w:t xml:space="preserve">    = {(</w:t>
      </w:r>
      <w:proofErr w:type="spellStart"/>
      <w:r w:rsidRPr="00F33FB3">
        <w:rPr>
          <w:rFonts w:ascii="Arial" w:eastAsia="Calibri" w:hAnsi="Arial" w:cs="Arial"/>
          <w:i/>
        </w:rPr>
        <w:t>RAB</w:t>
      </w:r>
      <w:r w:rsidRPr="00F33FB3">
        <w:rPr>
          <w:rFonts w:ascii="Arial" w:eastAsia="Calibri" w:hAnsi="Arial" w:cs="Arial"/>
          <w:i/>
          <w:vertAlign w:val="subscript"/>
        </w:rPr>
        <w:t>Transformer</w:t>
      </w:r>
      <w:proofErr w:type="spellEnd"/>
      <w:r w:rsidRPr="00F33FB3">
        <w:rPr>
          <w:rFonts w:ascii="Arial" w:eastAsia="Calibri" w:hAnsi="Arial" w:cs="Arial"/>
          <w:i/>
        </w:rPr>
        <w:t xml:space="preserve"> x % of capacity used) + (</w:t>
      </w:r>
      <w:proofErr w:type="spellStart"/>
      <w:r w:rsidRPr="00F33FB3">
        <w:rPr>
          <w:rFonts w:ascii="Arial" w:eastAsia="Calibri" w:hAnsi="Arial" w:cs="Arial"/>
          <w:i/>
        </w:rPr>
        <w:t>RAB</w:t>
      </w:r>
      <w:r w:rsidRPr="00F33FB3">
        <w:rPr>
          <w:rFonts w:ascii="Arial" w:eastAsia="Calibri" w:hAnsi="Arial" w:cs="Arial"/>
          <w:i/>
          <w:vertAlign w:val="subscript"/>
        </w:rPr>
        <w:t>Switchbay</w:t>
      </w:r>
      <w:proofErr w:type="spellEnd"/>
      <w:r w:rsidRPr="00F33FB3">
        <w:rPr>
          <w:rFonts w:ascii="Arial" w:eastAsia="Calibri" w:hAnsi="Arial" w:cs="Arial"/>
          <w:i/>
        </w:rPr>
        <w:t xml:space="preserve"> x % of rating used) + (Transmission Line Cost per km x Line length x % of capacity used)}</w:t>
      </w:r>
    </w:p>
    <w:p w:rsidR="00F33FB3" w:rsidRPr="00F33FB3" w:rsidRDefault="00F33FB3" w:rsidP="00F33FB3">
      <w:pPr>
        <w:autoSpaceDE w:val="0"/>
        <w:autoSpaceDN w:val="0"/>
        <w:adjustRightInd w:val="0"/>
        <w:jc w:val="both"/>
        <w:rPr>
          <w:rFonts w:ascii="Arial" w:eastAsia="Calibri" w:hAnsi="Arial" w:cs="Arial"/>
        </w:rPr>
      </w:pPr>
    </w:p>
    <w:p w:rsidR="00F33FB3" w:rsidRPr="00F33FB3" w:rsidRDefault="00F33FB3" w:rsidP="00F33FB3">
      <w:pPr>
        <w:autoSpaceDE w:val="0"/>
        <w:autoSpaceDN w:val="0"/>
        <w:adjustRightInd w:val="0"/>
        <w:jc w:val="both"/>
        <w:rPr>
          <w:rFonts w:ascii="Arial" w:eastAsia="Calibri" w:hAnsi="Arial" w:cs="Arial"/>
        </w:rPr>
      </w:pPr>
      <w:r w:rsidRPr="00F33FB3">
        <w:rPr>
          <w:rFonts w:ascii="Arial" w:eastAsia="Calibri" w:hAnsi="Arial" w:cs="Arial"/>
        </w:rPr>
        <w:t>The annual depreciation (</w:t>
      </w:r>
      <w:proofErr w:type="spellStart"/>
      <w:r w:rsidRPr="00F33FB3">
        <w:rPr>
          <w:rFonts w:ascii="Arial" w:eastAsia="Calibri" w:hAnsi="Arial" w:cs="Arial"/>
        </w:rPr>
        <w:t>Depreciation</w:t>
      </w:r>
      <w:r w:rsidRPr="00F33FB3">
        <w:rPr>
          <w:rFonts w:ascii="Arial" w:eastAsia="Calibri" w:hAnsi="Arial" w:cs="Arial"/>
          <w:vertAlign w:val="subscript"/>
        </w:rPr>
        <w:t>T</w:t>
      </w:r>
      <w:proofErr w:type="spellEnd"/>
      <w:r w:rsidRPr="00F33FB3">
        <w:rPr>
          <w:rFonts w:ascii="Arial" w:eastAsia="Calibri" w:hAnsi="Arial" w:cs="Arial"/>
        </w:rPr>
        <w:t>) for calculating the TSO revenue requirements is determined as follows</w:t>
      </w:r>
    </w:p>
    <w:p w:rsidR="00F33FB3" w:rsidRPr="00F33FB3" w:rsidRDefault="00F33FB3" w:rsidP="00F33FB3">
      <w:pPr>
        <w:autoSpaceDE w:val="0"/>
        <w:autoSpaceDN w:val="0"/>
        <w:adjustRightInd w:val="0"/>
        <w:jc w:val="both"/>
        <w:rPr>
          <w:rFonts w:ascii="Arial" w:eastAsia="Calibri" w:hAnsi="Arial" w:cs="Arial"/>
        </w:rPr>
      </w:pPr>
    </w:p>
    <w:p w:rsidR="00F33FB3" w:rsidRPr="00F33FB3" w:rsidRDefault="00F33FB3" w:rsidP="00F33FB3">
      <w:pPr>
        <w:autoSpaceDE w:val="0"/>
        <w:autoSpaceDN w:val="0"/>
        <w:adjustRightInd w:val="0"/>
        <w:jc w:val="both"/>
        <w:rPr>
          <w:rFonts w:ascii="Arial" w:eastAsia="Calibri" w:hAnsi="Arial" w:cs="Arial"/>
          <w:b/>
        </w:rPr>
      </w:pPr>
      <w:proofErr w:type="spellStart"/>
      <w:r w:rsidRPr="00F33FB3">
        <w:rPr>
          <w:rFonts w:ascii="Arial" w:eastAsia="Calibri" w:hAnsi="Arial" w:cs="Arial"/>
          <w:b/>
        </w:rPr>
        <w:t>Depreciation</w:t>
      </w:r>
      <w:r w:rsidRPr="00F33FB3">
        <w:rPr>
          <w:rFonts w:ascii="Arial" w:eastAsia="Calibri" w:hAnsi="Arial" w:cs="Arial"/>
          <w:b/>
          <w:vertAlign w:val="subscript"/>
        </w:rPr>
        <w:t>T</w:t>
      </w:r>
      <w:proofErr w:type="spellEnd"/>
      <w:r w:rsidRPr="00F33FB3">
        <w:rPr>
          <w:rFonts w:ascii="Arial" w:eastAsia="Calibri" w:hAnsi="Arial" w:cs="Arial"/>
          <w:b/>
          <w:vertAlign w:val="subscript"/>
        </w:rPr>
        <w:t xml:space="preserve"> </w:t>
      </w:r>
      <w:r w:rsidRPr="00F33FB3">
        <w:rPr>
          <w:rFonts w:ascii="Arial" w:eastAsia="Calibri" w:hAnsi="Arial" w:cs="Arial"/>
          <w:b/>
        </w:rPr>
        <w:t xml:space="preserve">= {Depreciation Transformer + Depreciation </w:t>
      </w:r>
      <w:proofErr w:type="spellStart"/>
      <w:r w:rsidRPr="00F33FB3">
        <w:rPr>
          <w:rFonts w:ascii="Arial" w:eastAsia="Calibri" w:hAnsi="Arial" w:cs="Arial"/>
          <w:b/>
        </w:rPr>
        <w:t>Switchbay</w:t>
      </w:r>
      <w:proofErr w:type="spellEnd"/>
      <w:r w:rsidRPr="00F33FB3">
        <w:rPr>
          <w:rFonts w:ascii="Arial" w:eastAsia="Calibri" w:hAnsi="Arial" w:cs="Arial"/>
          <w:b/>
        </w:rPr>
        <w:t xml:space="preserve"> + Depreciation Transmission Line) x Load Flow Results</w:t>
      </w:r>
    </w:p>
    <w:p w:rsidR="00F33FB3" w:rsidRPr="00F33FB3" w:rsidRDefault="00F33FB3" w:rsidP="00F33FB3">
      <w:pPr>
        <w:autoSpaceDE w:val="0"/>
        <w:autoSpaceDN w:val="0"/>
        <w:adjustRightInd w:val="0"/>
        <w:jc w:val="both"/>
        <w:rPr>
          <w:rFonts w:ascii="Arial" w:eastAsia="Calibri" w:hAnsi="Arial" w:cs="Arial"/>
        </w:rPr>
      </w:pPr>
    </w:p>
    <w:p w:rsidR="00F33FB3" w:rsidRPr="00F33FB3" w:rsidRDefault="000D0807" w:rsidP="00F33FB3">
      <w:pPr>
        <w:autoSpaceDE w:val="0"/>
        <w:autoSpaceDN w:val="0"/>
        <w:adjustRightInd w:val="0"/>
        <w:jc w:val="both"/>
        <w:rPr>
          <w:rFonts w:ascii="Arial" w:eastAsia="Calibri" w:hAnsi="Arial" w:cs="Arial"/>
          <w:i/>
        </w:rPr>
      </w:pPr>
      <w:r w:rsidRPr="00F33FB3">
        <w:rPr>
          <w:rFonts w:ascii="Arial" w:eastAsia="Calibri" w:hAnsi="Arial" w:cs="Arial"/>
          <w:i/>
        </w:rPr>
        <w:t>Depreciation</w:t>
      </w:r>
      <w:r w:rsidR="00F33FB3" w:rsidRPr="00F33FB3">
        <w:rPr>
          <w:rFonts w:ascii="Arial" w:eastAsia="Calibri" w:hAnsi="Arial" w:cs="Arial"/>
          <w:i/>
          <w:vertAlign w:val="subscript"/>
        </w:rPr>
        <w:t xml:space="preserve"> </w:t>
      </w:r>
      <w:r w:rsidR="00F33FB3" w:rsidRPr="00F33FB3">
        <w:rPr>
          <w:rFonts w:ascii="Arial" w:eastAsia="Calibri" w:hAnsi="Arial" w:cs="Arial"/>
          <w:i/>
        </w:rPr>
        <w:t xml:space="preserve">= {(Depreciation Transformer x % of capacity used) + (Depreciation </w:t>
      </w:r>
      <w:proofErr w:type="spellStart"/>
      <w:r w:rsidR="00F33FB3" w:rsidRPr="00F33FB3">
        <w:rPr>
          <w:rFonts w:ascii="Arial" w:eastAsia="Calibri" w:hAnsi="Arial" w:cs="Arial"/>
          <w:i/>
        </w:rPr>
        <w:t>Switchbay</w:t>
      </w:r>
      <w:proofErr w:type="spellEnd"/>
      <w:r w:rsidR="00F33FB3" w:rsidRPr="00F33FB3">
        <w:rPr>
          <w:rFonts w:ascii="Arial" w:eastAsia="Calibri" w:hAnsi="Arial" w:cs="Arial"/>
          <w:i/>
        </w:rPr>
        <w:t xml:space="preserve"> x % of rating used) + (Depreciation of Line Cost per km x Line length x % of capacity used)}</w:t>
      </w:r>
    </w:p>
    <w:p w:rsidR="00F33FB3" w:rsidRPr="00F33FB3" w:rsidRDefault="00F33FB3" w:rsidP="00F33FB3">
      <w:pPr>
        <w:autoSpaceDE w:val="0"/>
        <w:autoSpaceDN w:val="0"/>
        <w:adjustRightInd w:val="0"/>
        <w:jc w:val="both"/>
        <w:rPr>
          <w:rFonts w:ascii="Arial" w:eastAsia="Calibri" w:hAnsi="Arial" w:cs="Arial"/>
        </w:rPr>
      </w:pPr>
    </w:p>
    <w:p w:rsidR="00F33FB3" w:rsidRPr="00F33FB3" w:rsidRDefault="00F33FB3" w:rsidP="00F33FB3">
      <w:pPr>
        <w:jc w:val="both"/>
        <w:rPr>
          <w:rFonts w:ascii="Arial" w:eastAsia="Calibri" w:hAnsi="Arial" w:cs="Arial"/>
        </w:rPr>
      </w:pPr>
      <w:r w:rsidRPr="00F33FB3">
        <w:rPr>
          <w:rFonts w:ascii="Arial" w:eastAsia="Calibri" w:hAnsi="Arial" w:cs="Arial"/>
        </w:rPr>
        <w:t>The effective Operation and Maintenance (O&amp;M</w:t>
      </w:r>
      <w:r w:rsidRPr="00F33FB3">
        <w:rPr>
          <w:rFonts w:ascii="Arial" w:eastAsia="Calibri" w:hAnsi="Arial" w:cs="Arial"/>
          <w:vertAlign w:val="subscript"/>
        </w:rPr>
        <w:t>T</w:t>
      </w:r>
      <w:r w:rsidRPr="00F33FB3">
        <w:rPr>
          <w:rFonts w:ascii="Arial" w:eastAsia="Calibri" w:hAnsi="Arial" w:cs="Arial"/>
        </w:rPr>
        <w:t>) expense is calculated as follows:</w:t>
      </w:r>
    </w:p>
    <w:p w:rsidR="00F33FB3" w:rsidRPr="00F33FB3" w:rsidRDefault="00F33FB3" w:rsidP="00F33FB3">
      <w:pPr>
        <w:jc w:val="both"/>
        <w:rPr>
          <w:rFonts w:ascii="Arial" w:eastAsia="Calibri" w:hAnsi="Arial" w:cs="Arial"/>
          <w:b/>
        </w:rPr>
      </w:pPr>
      <w:r w:rsidRPr="00F33FB3">
        <w:rPr>
          <w:rFonts w:ascii="Arial" w:eastAsia="Calibri" w:hAnsi="Arial" w:cs="Arial"/>
          <w:b/>
        </w:rPr>
        <w:t>O&amp;M</w:t>
      </w:r>
      <w:r w:rsidRPr="00F33FB3">
        <w:rPr>
          <w:rFonts w:ascii="Arial" w:eastAsia="Calibri" w:hAnsi="Arial" w:cs="Arial"/>
          <w:b/>
          <w:vertAlign w:val="subscript"/>
        </w:rPr>
        <w:t>T</w:t>
      </w:r>
      <w:r w:rsidRPr="00F33FB3">
        <w:rPr>
          <w:rFonts w:ascii="Arial" w:eastAsia="Calibri" w:hAnsi="Arial" w:cs="Arial"/>
          <w:b/>
        </w:rPr>
        <w:t xml:space="preserve">   = O&amp;M Cost Factor x Gross Replacement Value of Asset</w:t>
      </w:r>
    </w:p>
    <w:p w:rsidR="00F33FB3" w:rsidRPr="00F33FB3" w:rsidRDefault="00F33FB3" w:rsidP="00F33FB3">
      <w:pPr>
        <w:pStyle w:val="ListParagraph"/>
        <w:keepNext/>
        <w:keepLines/>
        <w:numPr>
          <w:ilvl w:val="0"/>
          <w:numId w:val="11"/>
        </w:numPr>
        <w:spacing w:before="360" w:after="40"/>
        <w:ind w:left="567" w:hanging="567"/>
        <w:jc w:val="both"/>
        <w:outlineLvl w:val="1"/>
        <w:rPr>
          <w:rFonts w:ascii="Arial" w:eastAsia="SimSun" w:hAnsi="Arial" w:cs="Arial"/>
          <w:b/>
          <w:bCs/>
        </w:rPr>
      </w:pPr>
      <w:r w:rsidRPr="00F33FB3">
        <w:rPr>
          <w:rFonts w:ascii="Arial" w:eastAsia="SimSun" w:hAnsi="Arial" w:cs="Arial"/>
          <w:b/>
          <w:bCs/>
        </w:rPr>
        <w:t xml:space="preserve">Network Loss Compensation </w:t>
      </w:r>
    </w:p>
    <w:p w:rsidR="00F33FB3" w:rsidRPr="00F33FB3" w:rsidRDefault="00F33FB3" w:rsidP="00F33FB3">
      <w:pPr>
        <w:autoSpaceDE w:val="0"/>
        <w:autoSpaceDN w:val="0"/>
        <w:adjustRightInd w:val="0"/>
        <w:jc w:val="both"/>
        <w:rPr>
          <w:rFonts w:ascii="Arial" w:eastAsia="Calibri" w:hAnsi="Arial" w:cs="Arial"/>
        </w:rPr>
      </w:pPr>
      <w:r w:rsidRPr="00F33FB3">
        <w:rPr>
          <w:rFonts w:ascii="Arial" w:eastAsia="Calibri" w:hAnsi="Arial" w:cs="Arial"/>
        </w:rPr>
        <w:t xml:space="preserve">The principle of using incremental losses associated with specific wheeling transactions to determine the network losses, implies that the utilities would be compensated for any </w:t>
      </w:r>
      <w:r w:rsidRPr="00F33FB3">
        <w:rPr>
          <w:rFonts w:ascii="Arial" w:eastAsia="Calibri" w:hAnsi="Arial" w:cs="Arial"/>
        </w:rPr>
        <w:lastRenderedPageBreak/>
        <w:t xml:space="preserve">increases in network losses from the wheeling transaction. The cost of network loss is determined based on the incremental effect of generation and demand at specific locations, </w:t>
      </w:r>
      <w:r w:rsidRPr="00F33FB3">
        <w:rPr>
          <w:rFonts w:ascii="Arial" w:eastAsia="Calibri" w:hAnsi="Arial" w:cs="Arial"/>
          <w:i/>
        </w:rPr>
        <w:t>using load flow analysis.</w:t>
      </w:r>
      <w:r w:rsidRPr="00F33FB3">
        <w:rPr>
          <w:rFonts w:ascii="Arial" w:eastAsia="Calibri" w:hAnsi="Arial" w:cs="Arial"/>
        </w:rPr>
        <w:t xml:space="preserve"> The simulation is carried out for </w:t>
      </w:r>
      <w:r w:rsidRPr="00F33FB3">
        <w:rPr>
          <w:rFonts w:ascii="Arial" w:eastAsia="Calibri" w:hAnsi="Arial" w:cs="Arial"/>
          <w:b/>
        </w:rPr>
        <w:t xml:space="preserve">Peak, Medium and Low loading </w:t>
      </w:r>
      <w:r w:rsidRPr="00F33FB3">
        <w:rPr>
          <w:rFonts w:ascii="Arial" w:eastAsia="Calibri" w:hAnsi="Arial" w:cs="Arial"/>
        </w:rPr>
        <w:t>conditions. The approach for determining the network loss compensation is as follows:</w:t>
      </w:r>
    </w:p>
    <w:p w:rsidR="00F33FB3" w:rsidRPr="00F33FB3" w:rsidRDefault="00F33FB3" w:rsidP="00F33FB3">
      <w:pPr>
        <w:jc w:val="both"/>
        <w:rPr>
          <w:rFonts w:ascii="Arial" w:eastAsia="Calibri" w:hAnsi="Arial" w:cs="Arial"/>
        </w:rPr>
      </w:pPr>
    </w:p>
    <w:p w:rsidR="00F33FB3" w:rsidRPr="00F33FB3" w:rsidRDefault="00F33FB3" w:rsidP="00F33FB3">
      <w:pPr>
        <w:jc w:val="both"/>
        <w:rPr>
          <w:rFonts w:ascii="Arial" w:eastAsia="Calibri" w:hAnsi="Arial" w:cs="Arial"/>
          <w:b/>
          <w:vertAlign w:val="subscript"/>
        </w:rPr>
      </w:pPr>
      <w:proofErr w:type="spellStart"/>
      <w:r w:rsidRPr="00F33FB3">
        <w:rPr>
          <w:rFonts w:ascii="Arial" w:eastAsia="Calibri" w:hAnsi="Arial" w:cs="Arial"/>
          <w:b/>
        </w:rPr>
        <w:t>CTn</w:t>
      </w:r>
      <w:r w:rsidRPr="00F33FB3">
        <w:rPr>
          <w:rFonts w:ascii="Arial" w:eastAsia="Calibri" w:hAnsi="Arial" w:cs="Arial"/>
          <w:b/>
          <w:vertAlign w:val="subscript"/>
        </w:rPr>
        <w:t>Loss</w:t>
      </w:r>
      <w:proofErr w:type="gramStart"/>
      <w:r w:rsidRPr="00F33FB3">
        <w:rPr>
          <w:rFonts w:ascii="Arial" w:eastAsia="Calibri" w:hAnsi="Arial" w:cs="Arial"/>
          <w:b/>
          <w:vertAlign w:val="subscript"/>
        </w:rPr>
        <w:t>,t</w:t>
      </w:r>
      <w:proofErr w:type="spellEnd"/>
      <w:proofErr w:type="gramEnd"/>
      <w:r w:rsidRPr="00F33FB3">
        <w:rPr>
          <w:rFonts w:ascii="Arial" w:eastAsia="Calibri" w:hAnsi="Arial" w:cs="Arial"/>
          <w:b/>
          <w:vertAlign w:val="subscript"/>
        </w:rPr>
        <w:t xml:space="preserve">, </w:t>
      </w:r>
      <w:r w:rsidRPr="00F33FB3">
        <w:rPr>
          <w:rFonts w:ascii="Arial" w:eastAsia="Calibri" w:hAnsi="Arial" w:cs="Arial"/>
          <w:b/>
          <w:vertAlign w:val="subscript"/>
        </w:rPr>
        <w:tab/>
      </w:r>
      <w:r w:rsidRPr="00F33FB3">
        <w:rPr>
          <w:rFonts w:ascii="Arial" w:eastAsia="Calibri" w:hAnsi="Arial" w:cs="Arial"/>
          <w:b/>
        </w:rPr>
        <w:t>= WACG X (∆MW)</w:t>
      </w:r>
      <w:proofErr w:type="spellStart"/>
      <w:r w:rsidRPr="00F33FB3">
        <w:rPr>
          <w:rFonts w:ascii="Arial" w:eastAsia="Calibri" w:hAnsi="Arial" w:cs="Arial"/>
          <w:b/>
        </w:rPr>
        <w:t>h</w:t>
      </w:r>
      <w:r w:rsidRPr="00F33FB3">
        <w:rPr>
          <w:rFonts w:ascii="Arial" w:eastAsia="Calibri" w:hAnsi="Arial" w:cs="Arial"/>
          <w:b/>
          <w:vertAlign w:val="subscript"/>
        </w:rPr>
        <w:t>Transm</w:t>
      </w:r>
      <w:proofErr w:type="spellEnd"/>
      <w:r w:rsidRPr="00F33FB3">
        <w:rPr>
          <w:rFonts w:ascii="Arial" w:eastAsia="Calibri" w:hAnsi="Arial" w:cs="Arial"/>
          <w:b/>
          <w:vertAlign w:val="subscript"/>
        </w:rPr>
        <w:t xml:space="preserve"> </w:t>
      </w:r>
      <w:proofErr w:type="spellStart"/>
      <w:r w:rsidRPr="00F33FB3">
        <w:rPr>
          <w:rFonts w:ascii="Arial" w:eastAsia="Calibri" w:hAnsi="Arial" w:cs="Arial"/>
          <w:b/>
          <w:vertAlign w:val="subscript"/>
        </w:rPr>
        <w:t>Loss,i</w:t>
      </w:r>
      <w:proofErr w:type="spellEnd"/>
      <w:r w:rsidRPr="00F33FB3">
        <w:rPr>
          <w:rFonts w:ascii="Arial" w:eastAsia="Calibri" w:hAnsi="Arial" w:cs="Arial"/>
          <w:b/>
          <w:vertAlign w:val="subscript"/>
        </w:rPr>
        <w:t xml:space="preserve"> </w:t>
      </w:r>
    </w:p>
    <w:p w:rsidR="00F33FB3" w:rsidRPr="00F33FB3" w:rsidRDefault="00F33FB3" w:rsidP="00F33FB3">
      <w:pPr>
        <w:jc w:val="both"/>
        <w:rPr>
          <w:rFonts w:ascii="Arial" w:eastAsia="Calibri" w:hAnsi="Arial" w:cs="Arial"/>
          <w:b/>
        </w:rPr>
      </w:pPr>
    </w:p>
    <w:p w:rsidR="00F33FB3" w:rsidRPr="00F33FB3" w:rsidRDefault="00F33FB3" w:rsidP="00F33FB3">
      <w:pPr>
        <w:jc w:val="both"/>
        <w:rPr>
          <w:rFonts w:ascii="Arial" w:eastAsia="Calibri" w:hAnsi="Arial" w:cs="Arial"/>
        </w:rPr>
      </w:pPr>
      <w:r w:rsidRPr="00F33FB3">
        <w:rPr>
          <w:rFonts w:ascii="Arial" w:eastAsia="Calibri" w:hAnsi="Arial" w:cs="Arial"/>
        </w:rPr>
        <w:t>Where:</w:t>
      </w:r>
    </w:p>
    <w:p w:rsidR="00F33FB3" w:rsidRPr="00F33FB3" w:rsidRDefault="00F33FB3" w:rsidP="00F33FB3">
      <w:pPr>
        <w:jc w:val="both"/>
        <w:rPr>
          <w:rFonts w:ascii="Arial" w:eastAsia="Calibri" w:hAnsi="Arial" w:cs="Arial"/>
        </w:rPr>
      </w:pPr>
      <w:proofErr w:type="spellStart"/>
      <w:r w:rsidRPr="00F33FB3">
        <w:rPr>
          <w:rFonts w:ascii="Arial" w:eastAsia="Calibri" w:hAnsi="Arial" w:cs="Arial"/>
        </w:rPr>
        <w:t>CTn</w:t>
      </w:r>
      <w:r w:rsidRPr="00F33FB3">
        <w:rPr>
          <w:rFonts w:ascii="Arial" w:eastAsia="Calibri" w:hAnsi="Arial" w:cs="Arial"/>
          <w:vertAlign w:val="subscript"/>
        </w:rPr>
        <w:t>Loss</w:t>
      </w:r>
      <w:proofErr w:type="gramStart"/>
      <w:r w:rsidRPr="00F33FB3">
        <w:rPr>
          <w:rFonts w:ascii="Arial" w:eastAsia="Calibri" w:hAnsi="Arial" w:cs="Arial"/>
          <w:vertAlign w:val="subscript"/>
        </w:rPr>
        <w:t>,t</w:t>
      </w:r>
      <w:proofErr w:type="spellEnd"/>
      <w:proofErr w:type="gramEnd"/>
      <w:r w:rsidRPr="00F33FB3">
        <w:rPr>
          <w:rFonts w:ascii="Arial" w:eastAsia="Calibri" w:hAnsi="Arial" w:cs="Arial"/>
          <w:vertAlign w:val="subscript"/>
        </w:rPr>
        <w:t>,</w:t>
      </w:r>
      <w:r w:rsidRPr="00F33FB3">
        <w:rPr>
          <w:rFonts w:ascii="Arial" w:eastAsia="Calibri" w:hAnsi="Arial" w:cs="Arial"/>
        </w:rPr>
        <w:t xml:space="preserve"> </w:t>
      </w:r>
      <w:r w:rsidRPr="00F33FB3">
        <w:rPr>
          <w:rFonts w:ascii="Arial" w:eastAsia="Calibri" w:hAnsi="Arial" w:cs="Arial"/>
        </w:rPr>
        <w:tab/>
        <w:t xml:space="preserve"> = Cost of Transmission Loss during period “t” </w:t>
      </w:r>
    </w:p>
    <w:p w:rsidR="00F33FB3" w:rsidRPr="00F33FB3" w:rsidRDefault="00F33FB3" w:rsidP="00F33FB3">
      <w:pPr>
        <w:jc w:val="both"/>
        <w:rPr>
          <w:rFonts w:ascii="Arial" w:eastAsia="Calibri" w:hAnsi="Arial" w:cs="Arial"/>
        </w:rPr>
      </w:pPr>
      <w:r w:rsidRPr="00F33FB3">
        <w:rPr>
          <w:rFonts w:ascii="Arial" w:eastAsia="Calibri" w:hAnsi="Arial" w:cs="Arial"/>
        </w:rPr>
        <w:t xml:space="preserve">WACG </w:t>
      </w:r>
      <w:r w:rsidRPr="00F33FB3">
        <w:rPr>
          <w:rFonts w:ascii="Arial" w:eastAsia="Calibri" w:hAnsi="Arial" w:cs="Arial"/>
        </w:rPr>
        <w:tab/>
      </w:r>
      <w:r w:rsidRPr="00F33FB3">
        <w:rPr>
          <w:rFonts w:ascii="Arial" w:eastAsia="Calibri" w:hAnsi="Arial" w:cs="Arial"/>
        </w:rPr>
        <w:tab/>
        <w:t xml:space="preserve"> = Weighted Average Cost of Generation </w:t>
      </w:r>
    </w:p>
    <w:p w:rsidR="00F33FB3" w:rsidRPr="00F33FB3" w:rsidRDefault="00F33FB3" w:rsidP="00F33FB3">
      <w:pPr>
        <w:ind w:left="1360" w:hanging="1360"/>
        <w:jc w:val="both"/>
        <w:rPr>
          <w:rFonts w:ascii="Arial" w:eastAsia="Calibri" w:hAnsi="Arial" w:cs="Arial"/>
        </w:rPr>
      </w:pPr>
      <w:r w:rsidRPr="00F33FB3">
        <w:rPr>
          <w:rFonts w:ascii="Arial" w:eastAsia="Calibri" w:hAnsi="Arial" w:cs="Arial"/>
        </w:rPr>
        <w:t>(∆MW</w:t>
      </w:r>
      <w:proofErr w:type="gramStart"/>
      <w:r w:rsidRPr="00F33FB3">
        <w:rPr>
          <w:rFonts w:ascii="Arial" w:eastAsia="Calibri" w:hAnsi="Arial" w:cs="Arial"/>
        </w:rPr>
        <w:t>)</w:t>
      </w:r>
      <w:proofErr w:type="spellStart"/>
      <w:r w:rsidRPr="00F33FB3">
        <w:rPr>
          <w:rFonts w:ascii="Arial" w:eastAsia="Calibri" w:hAnsi="Arial" w:cs="Arial"/>
        </w:rPr>
        <w:t>h</w:t>
      </w:r>
      <w:r w:rsidRPr="00F33FB3">
        <w:rPr>
          <w:rFonts w:ascii="Arial" w:eastAsia="Calibri" w:hAnsi="Arial" w:cs="Arial"/>
          <w:vertAlign w:val="subscript"/>
        </w:rPr>
        <w:t>Transm</w:t>
      </w:r>
      <w:proofErr w:type="spellEnd"/>
      <w:proofErr w:type="gramEnd"/>
      <w:r w:rsidRPr="00F33FB3">
        <w:rPr>
          <w:rFonts w:ascii="Arial" w:eastAsia="Calibri" w:hAnsi="Arial" w:cs="Arial"/>
          <w:vertAlign w:val="subscript"/>
        </w:rPr>
        <w:t xml:space="preserve"> </w:t>
      </w:r>
      <w:proofErr w:type="spellStart"/>
      <w:r w:rsidRPr="00F33FB3">
        <w:rPr>
          <w:rFonts w:ascii="Arial" w:eastAsia="Calibri" w:hAnsi="Arial" w:cs="Arial"/>
          <w:vertAlign w:val="subscript"/>
        </w:rPr>
        <w:t>Loss,i</w:t>
      </w:r>
      <w:proofErr w:type="spellEnd"/>
      <w:r w:rsidRPr="00F33FB3">
        <w:rPr>
          <w:rFonts w:ascii="Arial" w:eastAsia="Calibri" w:hAnsi="Arial" w:cs="Arial"/>
          <w:vertAlign w:val="subscript"/>
        </w:rPr>
        <w:t xml:space="preserve"> </w:t>
      </w:r>
      <w:r w:rsidRPr="00F33FB3">
        <w:rPr>
          <w:rFonts w:ascii="Arial" w:eastAsia="Calibri" w:hAnsi="Arial" w:cs="Arial"/>
        </w:rPr>
        <w:t>= Incremental Amount of Generation to cover transmission network loss</w:t>
      </w:r>
    </w:p>
    <w:p w:rsidR="00F33FB3" w:rsidRPr="00F33FB3" w:rsidRDefault="00F33FB3" w:rsidP="00F33FB3">
      <w:pPr>
        <w:pStyle w:val="ListParagraph"/>
        <w:keepNext/>
        <w:keepLines/>
        <w:numPr>
          <w:ilvl w:val="0"/>
          <w:numId w:val="11"/>
        </w:numPr>
        <w:spacing w:before="360" w:after="40"/>
        <w:ind w:left="567" w:hanging="567"/>
        <w:jc w:val="both"/>
        <w:outlineLvl w:val="1"/>
        <w:rPr>
          <w:rFonts w:ascii="Arial" w:eastAsia="SimSun" w:hAnsi="Arial" w:cs="Arial"/>
          <w:b/>
          <w:bCs/>
        </w:rPr>
      </w:pPr>
      <w:r w:rsidRPr="00F33FB3">
        <w:rPr>
          <w:rFonts w:ascii="Arial" w:eastAsia="SimSun" w:hAnsi="Arial" w:cs="Arial"/>
          <w:b/>
          <w:bCs/>
        </w:rPr>
        <w:t xml:space="preserve"> Ancillary Services</w:t>
      </w:r>
    </w:p>
    <w:p w:rsidR="00F33FB3" w:rsidRPr="00F33FB3" w:rsidRDefault="00F33FB3" w:rsidP="00F33FB3">
      <w:pPr>
        <w:jc w:val="both"/>
        <w:rPr>
          <w:rFonts w:ascii="Arial" w:eastAsia="Calibri" w:hAnsi="Arial" w:cs="Arial"/>
          <w:bCs/>
        </w:rPr>
      </w:pPr>
      <w:r w:rsidRPr="00F33FB3">
        <w:rPr>
          <w:rFonts w:ascii="Arial" w:eastAsia="Calibri" w:hAnsi="Arial" w:cs="Arial"/>
          <w:bCs/>
        </w:rPr>
        <w:t xml:space="preserve">Ancillary services are required to ensure that the interconnected power system is operated in a stable and reliable manner with acceptable levels of voltage and frequency. </w:t>
      </w:r>
      <w:r w:rsidRPr="00F33FB3">
        <w:rPr>
          <w:rFonts w:ascii="Arial" w:eastAsia="Calibri" w:hAnsi="Arial" w:cs="Arial"/>
        </w:rPr>
        <w:t>The basic principle underlying the recovery of cost of ancillary services is that, if the TSO purchases ancillary services from generators or installs specific equipment to produce reactive power</w:t>
      </w:r>
      <w:r w:rsidRPr="00F33FB3">
        <w:rPr>
          <w:rFonts w:ascii="Arial" w:eastAsia="Calibri" w:hAnsi="Arial" w:cs="Arial"/>
          <w:i/>
        </w:rPr>
        <w:t>, these costs should be recovered from the specific load(s) who directly benefit from the purchase</w:t>
      </w:r>
      <w:r w:rsidRPr="00F33FB3">
        <w:rPr>
          <w:rFonts w:ascii="Arial" w:eastAsia="Calibri" w:hAnsi="Arial" w:cs="Arial"/>
        </w:rPr>
        <w:t xml:space="preserve"> of the ancillary services or the installation of the ancillary service equipment. </w:t>
      </w:r>
      <w:r w:rsidRPr="00F33FB3">
        <w:rPr>
          <w:rFonts w:ascii="Arial" w:eastAsia="Calibri" w:hAnsi="Arial" w:cs="Arial"/>
          <w:bCs/>
        </w:rPr>
        <w:t>In order to ensure that transmission voltages are maintained within acceptable limits, generation facilities, capacitors and other power correction devices under the control of the System Market Operator (SMO), must be operated to produce (or absorb) reactive power. The total reactive power revenue collected from the transmission customer is a pass through to the TSO for the service provided. Purchasers of reactive power would be charged for such service in accordance with the following formula</w:t>
      </w:r>
      <w:r w:rsidRPr="00F33FB3">
        <w:rPr>
          <w:rFonts w:ascii="Arial" w:eastAsia="Calibri" w:hAnsi="Arial" w:cs="Arial"/>
          <w:bCs/>
          <w:i/>
        </w:rPr>
        <w:t>:</w:t>
      </w:r>
      <w:r w:rsidRPr="00F33FB3">
        <w:rPr>
          <w:rFonts w:ascii="Arial" w:eastAsia="Calibri" w:hAnsi="Arial" w:cs="Arial"/>
          <w:bCs/>
        </w:rPr>
        <w:t xml:space="preserve"> </w:t>
      </w:r>
    </w:p>
    <w:p w:rsidR="00F33FB3" w:rsidRPr="00F33FB3" w:rsidRDefault="00F33FB3" w:rsidP="00F33FB3">
      <w:pPr>
        <w:jc w:val="both"/>
        <w:rPr>
          <w:rFonts w:ascii="Arial" w:eastAsia="SimSun" w:hAnsi="Arial" w:cs="Arial"/>
          <w:b/>
          <w:bCs/>
        </w:rPr>
      </w:pPr>
      <m:oMathPara>
        <m:oMath>
          <m:r>
            <m:rPr>
              <m:sty m:val="bi"/>
            </m:rPr>
            <w:rPr>
              <w:rFonts w:ascii="Cambria Math" w:eastAsia="Calibri" w:hAnsi="Cambria Math" w:cs="Arial"/>
            </w:rPr>
            <m:t>Reactive Factor Charge (US$=</m:t>
          </m:r>
          <m:sSub>
            <m:sSubPr>
              <m:ctrlPr>
                <w:rPr>
                  <w:rFonts w:ascii="Cambria Math" w:eastAsia="Calibri" w:hAnsi="Cambria Math" w:cs="Arial"/>
                  <w:b/>
                  <w:bCs/>
                  <w:i/>
                </w:rPr>
              </m:ctrlPr>
            </m:sSubPr>
            <m:e>
              <m:r>
                <m:rPr>
                  <m:sty m:val="bi"/>
                </m:rPr>
                <w:rPr>
                  <w:rFonts w:ascii="Cambria Math" w:eastAsia="Calibri" w:hAnsi="Cambria Math" w:cs="Arial"/>
                </w:rPr>
                <m:t>MVAR</m:t>
              </m:r>
            </m:e>
            <m:sub>
              <m:r>
                <m:rPr>
                  <m:sty m:val="bi"/>
                </m:rPr>
                <w:rPr>
                  <w:rFonts w:ascii="Cambria Math" w:eastAsia="Calibri" w:hAnsi="Cambria Math" w:cs="Arial"/>
                </w:rPr>
                <m:t>TARIFF</m:t>
              </m:r>
            </m:sub>
          </m:sSub>
          <m:r>
            <m:rPr>
              <m:sty m:val="bi"/>
            </m:rPr>
            <w:rPr>
              <w:rFonts w:ascii="Cambria Math" w:eastAsia="Calibri" w:hAnsi="Cambria Math" w:cs="Arial"/>
            </w:rPr>
            <m:t xml:space="preserve"> x </m:t>
          </m:r>
          <m:f>
            <m:fPr>
              <m:ctrlPr>
                <w:rPr>
                  <w:rFonts w:ascii="Cambria Math" w:eastAsia="Calibri" w:hAnsi="Cambria Math" w:cs="Arial"/>
                  <w:b/>
                  <w:bCs/>
                  <w:i/>
                </w:rPr>
              </m:ctrlPr>
            </m:fPr>
            <m:num>
              <m:sSub>
                <m:sSubPr>
                  <m:ctrlPr>
                    <w:rPr>
                      <w:rFonts w:ascii="Cambria Math" w:eastAsia="Calibri" w:hAnsi="Cambria Math" w:cs="Arial"/>
                      <w:b/>
                      <w:bCs/>
                      <w:i/>
                    </w:rPr>
                  </m:ctrlPr>
                </m:sSubPr>
                <m:e>
                  <m:r>
                    <m:rPr>
                      <m:sty m:val="bi"/>
                    </m:rPr>
                    <w:rPr>
                      <w:rFonts w:ascii="Cambria Math" w:eastAsia="Calibri" w:hAnsi="Cambria Math" w:cs="Arial"/>
                    </w:rPr>
                    <m:t>MVAR</m:t>
                  </m:r>
                </m:e>
                <m:sub>
                  <m:r>
                    <m:rPr>
                      <m:sty m:val="bi"/>
                    </m:rPr>
                    <w:rPr>
                      <w:rFonts w:ascii="Cambria Math" w:eastAsia="Calibri" w:hAnsi="Cambria Math" w:cs="Arial"/>
                    </w:rPr>
                    <m:t xml:space="preserve">ACTUAL </m:t>
                  </m:r>
                </m:sub>
              </m:sSub>
              <m:r>
                <m:rPr>
                  <m:sty m:val="bi"/>
                </m:rPr>
                <w:rPr>
                  <w:rFonts w:ascii="Cambria Math" w:eastAsia="Calibri" w:hAnsi="Cambria Math" w:cs="Arial"/>
                </w:rPr>
                <m:t xml:space="preserve">x </m:t>
              </m:r>
              <m:sSub>
                <m:sSubPr>
                  <m:ctrlPr>
                    <w:rPr>
                      <w:rFonts w:ascii="Cambria Math" w:eastAsia="Calibri" w:hAnsi="Cambria Math" w:cs="Arial"/>
                      <w:b/>
                      <w:bCs/>
                      <w:i/>
                    </w:rPr>
                  </m:ctrlPr>
                </m:sSubPr>
                <m:e>
                  <m:r>
                    <m:rPr>
                      <m:sty m:val="bi"/>
                    </m:rPr>
                    <w:rPr>
                      <w:rFonts w:ascii="Cambria Math" w:eastAsia="Calibri" w:hAnsi="Cambria Math" w:cs="Arial"/>
                    </w:rPr>
                    <m:t>PF</m:t>
                  </m:r>
                </m:e>
                <m:sub>
                  <m:r>
                    <m:rPr>
                      <m:sty m:val="bi"/>
                    </m:rPr>
                    <w:rPr>
                      <w:rFonts w:ascii="Cambria Math" w:eastAsia="Calibri" w:hAnsi="Cambria Math" w:cs="Arial"/>
                    </w:rPr>
                    <m:t>BENCHMARK</m:t>
                  </m:r>
                </m:sub>
              </m:sSub>
              <m:r>
                <m:rPr>
                  <m:sty m:val="bi"/>
                </m:rPr>
                <w:rPr>
                  <w:rFonts w:ascii="Cambria Math" w:eastAsia="Calibri" w:hAnsi="Cambria Math" w:cs="Arial"/>
                </w:rPr>
                <m:t xml:space="preserve"> </m:t>
              </m:r>
            </m:num>
            <m:den>
              <m:sSub>
                <m:sSubPr>
                  <m:ctrlPr>
                    <w:rPr>
                      <w:rFonts w:ascii="Cambria Math" w:eastAsia="Calibri" w:hAnsi="Cambria Math" w:cs="Arial"/>
                      <w:b/>
                      <w:bCs/>
                      <w:i/>
                    </w:rPr>
                  </m:ctrlPr>
                </m:sSubPr>
                <m:e>
                  <m:r>
                    <m:rPr>
                      <m:sty m:val="bi"/>
                    </m:rPr>
                    <w:rPr>
                      <w:rFonts w:ascii="Cambria Math" w:eastAsia="Calibri" w:hAnsi="Cambria Math" w:cs="Arial"/>
                    </w:rPr>
                    <m:t>PF</m:t>
                  </m:r>
                </m:e>
                <m:sub>
                  <m:r>
                    <m:rPr>
                      <m:sty m:val="bi"/>
                    </m:rPr>
                    <w:rPr>
                      <w:rFonts w:ascii="Cambria Math" w:eastAsia="Calibri" w:hAnsi="Cambria Math" w:cs="Arial"/>
                    </w:rPr>
                    <m:t>ACTUAL</m:t>
                  </m:r>
                </m:sub>
              </m:sSub>
            </m:den>
          </m:f>
          <m:r>
            <m:rPr>
              <m:sty m:val="bi"/>
            </m:rPr>
            <w:rPr>
              <w:rFonts w:ascii="Cambria Math" w:eastAsia="Calibri" w:hAnsi="Cambria Math" w:cs="Arial"/>
            </w:rPr>
            <m:t xml:space="preserve">- </m:t>
          </m:r>
          <m:sSub>
            <m:sSubPr>
              <m:ctrlPr>
                <w:rPr>
                  <w:rFonts w:ascii="Cambria Math" w:eastAsia="Calibri" w:hAnsi="Cambria Math" w:cs="Arial"/>
                  <w:b/>
                  <w:bCs/>
                  <w:i/>
                </w:rPr>
              </m:ctrlPr>
            </m:sSubPr>
            <m:e>
              <m:r>
                <m:rPr>
                  <m:sty m:val="bi"/>
                </m:rPr>
                <w:rPr>
                  <w:rFonts w:ascii="Cambria Math" w:eastAsia="Calibri" w:hAnsi="Cambria Math" w:cs="Arial"/>
                </w:rPr>
                <m:t>MVAR</m:t>
              </m:r>
            </m:e>
            <m:sub>
              <m:r>
                <m:rPr>
                  <m:sty m:val="bi"/>
                </m:rPr>
                <w:rPr>
                  <w:rFonts w:ascii="Cambria Math" w:eastAsia="Calibri" w:hAnsi="Cambria Math" w:cs="Arial"/>
                </w:rPr>
                <m:t xml:space="preserve">TARIFF </m:t>
              </m:r>
            </m:sub>
          </m:sSub>
          <m:r>
            <m:rPr>
              <m:sty m:val="bi"/>
            </m:rPr>
            <w:rPr>
              <w:rFonts w:ascii="Cambria Math" w:eastAsia="Calibri" w:hAnsi="Cambria Math" w:cs="Arial"/>
            </w:rPr>
            <m:t xml:space="preserve">x </m:t>
          </m:r>
          <m:sSub>
            <m:sSubPr>
              <m:ctrlPr>
                <w:rPr>
                  <w:rFonts w:ascii="Cambria Math" w:eastAsia="Calibri" w:hAnsi="Cambria Math" w:cs="Arial"/>
                  <w:b/>
                  <w:bCs/>
                  <w:i/>
                </w:rPr>
              </m:ctrlPr>
            </m:sSubPr>
            <m:e>
              <m:r>
                <m:rPr>
                  <m:sty m:val="bi"/>
                </m:rPr>
                <w:rPr>
                  <w:rFonts w:ascii="Cambria Math" w:eastAsia="Calibri" w:hAnsi="Cambria Math" w:cs="Arial"/>
                </w:rPr>
                <m:t>MVA</m:t>
              </m:r>
            </m:e>
            <m:sub>
              <m:r>
                <m:rPr>
                  <m:sty m:val="bi"/>
                </m:rPr>
                <w:rPr>
                  <w:rFonts w:ascii="Cambria Math" w:eastAsia="Calibri" w:hAnsi="Cambria Math" w:cs="Arial"/>
                </w:rPr>
                <m:t>ACTUAL</m:t>
              </m:r>
            </m:sub>
          </m:sSub>
        </m:oMath>
      </m:oMathPara>
    </w:p>
    <w:p w:rsidR="00F33FB3" w:rsidRPr="00F33FB3" w:rsidRDefault="00F33FB3" w:rsidP="00F33FB3">
      <w:pPr>
        <w:jc w:val="both"/>
        <w:rPr>
          <w:rFonts w:ascii="Arial" w:eastAsia="Calibri" w:hAnsi="Arial" w:cs="Arial"/>
          <w:b/>
          <w:bCs/>
        </w:rPr>
      </w:pPr>
      <m:oMathPara>
        <m:oMathParaPr>
          <m:jc m:val="left"/>
        </m:oMathParaPr>
        <m:oMath>
          <m:r>
            <m:rPr>
              <m:sty m:val="bi"/>
            </m:rPr>
            <w:rPr>
              <w:rFonts w:ascii="Cambria Math" w:eastAsia="Calibri" w:hAnsi="Cambria Math" w:cs="Arial"/>
            </w:rPr>
            <m:t xml:space="preserve">Reactive Factor Charge (US$)= </m:t>
          </m:r>
          <m:sSub>
            <m:sSubPr>
              <m:ctrlPr>
                <w:rPr>
                  <w:rFonts w:ascii="Cambria Math" w:eastAsia="Calibri" w:hAnsi="Cambria Math" w:cs="Arial"/>
                  <w:b/>
                  <w:bCs/>
                  <w:i/>
                </w:rPr>
              </m:ctrlPr>
            </m:sSubPr>
            <m:e>
              <m:r>
                <m:rPr>
                  <m:sty m:val="bi"/>
                </m:rPr>
                <w:rPr>
                  <w:rFonts w:ascii="Cambria Math" w:eastAsia="Calibri" w:hAnsi="Cambria Math" w:cs="Arial"/>
                </w:rPr>
                <m:t>MVAR</m:t>
              </m:r>
            </m:e>
            <m:sub>
              <m:r>
                <m:rPr>
                  <m:sty m:val="bi"/>
                </m:rPr>
                <w:rPr>
                  <w:rFonts w:ascii="Cambria Math" w:eastAsia="Calibri" w:hAnsi="Cambria Math" w:cs="Arial"/>
                </w:rPr>
                <m:t>TARIFF</m:t>
              </m:r>
            </m:sub>
          </m:sSub>
          <m:r>
            <m:rPr>
              <m:sty m:val="bi"/>
            </m:rPr>
            <w:rPr>
              <w:rFonts w:ascii="Cambria Math" w:eastAsia="Calibri" w:hAnsi="Cambria Math" w:cs="Arial"/>
            </w:rPr>
            <m:t xml:space="preserve"> x </m:t>
          </m:r>
          <m:sSub>
            <m:sSubPr>
              <m:ctrlPr>
                <w:rPr>
                  <w:rFonts w:ascii="Cambria Math" w:eastAsia="Calibri" w:hAnsi="Cambria Math" w:cs="Arial"/>
                  <w:b/>
                  <w:bCs/>
                  <w:i/>
                </w:rPr>
              </m:ctrlPr>
            </m:sSubPr>
            <m:e>
              <m:r>
                <m:rPr>
                  <m:sty m:val="bi"/>
                </m:rPr>
                <w:rPr>
                  <w:rFonts w:ascii="Cambria Math" w:eastAsia="Calibri" w:hAnsi="Cambria Math" w:cs="Arial"/>
                </w:rPr>
                <m:t>MVAR</m:t>
              </m:r>
            </m:e>
            <m:sub>
              <m:r>
                <m:rPr>
                  <m:sty m:val="bi"/>
                </m:rPr>
                <w:rPr>
                  <w:rFonts w:ascii="Cambria Math" w:eastAsia="Calibri" w:hAnsi="Cambria Math" w:cs="Arial"/>
                </w:rPr>
                <m:t xml:space="preserve">ACTUAL </m:t>
              </m:r>
            </m:sub>
          </m:sSub>
          <m:d>
            <m:dPr>
              <m:begChr m:val="["/>
              <m:endChr m:val="]"/>
              <m:ctrlPr>
                <w:rPr>
                  <w:rFonts w:ascii="Cambria Math" w:eastAsia="Calibri" w:hAnsi="Cambria Math" w:cs="Arial"/>
                  <w:b/>
                  <w:bCs/>
                  <w:i/>
                </w:rPr>
              </m:ctrlPr>
            </m:dPr>
            <m:e>
              <m:f>
                <m:fPr>
                  <m:ctrlPr>
                    <w:rPr>
                      <w:rFonts w:ascii="Cambria Math" w:eastAsia="Calibri" w:hAnsi="Cambria Math" w:cs="Arial"/>
                      <w:b/>
                      <w:bCs/>
                      <w:i/>
                    </w:rPr>
                  </m:ctrlPr>
                </m:fPr>
                <m:num>
                  <m:sSub>
                    <m:sSubPr>
                      <m:ctrlPr>
                        <w:rPr>
                          <w:rFonts w:ascii="Cambria Math" w:eastAsia="Calibri" w:hAnsi="Cambria Math" w:cs="Arial"/>
                          <w:b/>
                          <w:i/>
                        </w:rPr>
                      </m:ctrlPr>
                    </m:sSubPr>
                    <m:e>
                      <m:r>
                        <m:rPr>
                          <m:sty m:val="bi"/>
                        </m:rPr>
                        <w:rPr>
                          <w:rFonts w:ascii="Cambria Math" w:eastAsia="Calibri" w:hAnsi="Cambria Math" w:cs="Arial"/>
                        </w:rPr>
                        <m:t>PF</m:t>
                      </m:r>
                    </m:e>
                    <m:sub>
                      <m:r>
                        <m:rPr>
                          <m:sty m:val="bi"/>
                        </m:rPr>
                        <w:rPr>
                          <w:rFonts w:ascii="Cambria Math" w:eastAsia="Calibri" w:hAnsi="Cambria Math" w:cs="Arial"/>
                        </w:rPr>
                        <m:t>BENCHMARK</m:t>
                      </m:r>
                    </m:sub>
                  </m:sSub>
                </m:num>
                <m:den>
                  <m:sSub>
                    <m:sSubPr>
                      <m:ctrlPr>
                        <w:rPr>
                          <w:rFonts w:ascii="Cambria Math" w:eastAsia="Calibri" w:hAnsi="Cambria Math" w:cs="Arial"/>
                          <w:b/>
                          <w:bCs/>
                          <w:i/>
                        </w:rPr>
                      </m:ctrlPr>
                    </m:sSubPr>
                    <m:e>
                      <m:r>
                        <m:rPr>
                          <m:sty m:val="bi"/>
                        </m:rPr>
                        <w:rPr>
                          <w:rFonts w:ascii="Cambria Math" w:eastAsia="Calibri" w:hAnsi="Cambria Math" w:cs="Arial"/>
                        </w:rPr>
                        <m:t xml:space="preserve">  PF</m:t>
                      </m:r>
                    </m:e>
                    <m:sub>
                      <m:r>
                        <m:rPr>
                          <m:sty m:val="bi"/>
                        </m:rPr>
                        <w:rPr>
                          <w:rFonts w:ascii="Cambria Math" w:eastAsia="Calibri" w:hAnsi="Cambria Math" w:cs="Arial"/>
                        </w:rPr>
                        <m:t>ACTUAL</m:t>
                      </m:r>
                    </m:sub>
                  </m:sSub>
                </m:den>
              </m:f>
              <m:r>
                <m:rPr>
                  <m:sty m:val="bi"/>
                </m:rPr>
                <w:rPr>
                  <w:rFonts w:ascii="Cambria Math" w:eastAsia="Calibri" w:hAnsi="Cambria Math" w:cs="Arial"/>
                </w:rPr>
                <m:t>-1</m:t>
              </m:r>
            </m:e>
          </m:d>
        </m:oMath>
      </m:oMathPara>
    </w:p>
    <w:p w:rsidR="00F33FB3" w:rsidRPr="00F33FB3" w:rsidRDefault="00F33FB3" w:rsidP="00F33FB3">
      <w:pPr>
        <w:jc w:val="both"/>
        <w:rPr>
          <w:rFonts w:ascii="Arial" w:eastAsia="Calibri" w:hAnsi="Arial" w:cs="Arial"/>
          <w:bCs/>
        </w:rPr>
      </w:pPr>
      <w:r w:rsidRPr="00F33FB3">
        <w:rPr>
          <w:rFonts w:ascii="Arial" w:eastAsia="Calibri" w:hAnsi="Arial" w:cs="Arial"/>
          <w:bCs/>
        </w:rPr>
        <w:t xml:space="preserve">Where: </w:t>
      </w:r>
    </w:p>
    <w:p w:rsidR="00F33FB3" w:rsidRPr="00F33FB3" w:rsidRDefault="00F33FB3" w:rsidP="00F33FB3">
      <w:pPr>
        <w:jc w:val="both"/>
        <w:rPr>
          <w:rFonts w:ascii="Arial" w:eastAsia="Calibri" w:hAnsi="Arial" w:cs="Arial"/>
          <w:bCs/>
        </w:rPr>
      </w:pPr>
      <w:r w:rsidRPr="00F33FB3">
        <w:rPr>
          <w:rFonts w:ascii="Arial" w:eastAsia="Calibri" w:hAnsi="Arial" w:cs="Arial"/>
          <w:bCs/>
        </w:rPr>
        <w:t>MVAR</w:t>
      </w:r>
      <w:r w:rsidRPr="00F33FB3">
        <w:rPr>
          <w:rFonts w:ascii="Arial" w:eastAsia="Calibri" w:hAnsi="Arial" w:cs="Arial"/>
          <w:bCs/>
          <w:vertAlign w:val="subscript"/>
        </w:rPr>
        <w:t>TARIFF</w:t>
      </w:r>
      <w:r w:rsidRPr="00F33FB3">
        <w:rPr>
          <w:rFonts w:ascii="Arial" w:eastAsia="Calibri" w:hAnsi="Arial" w:cs="Arial"/>
          <w:bCs/>
        </w:rPr>
        <w:t xml:space="preserve"> </w:t>
      </w:r>
      <w:r w:rsidRPr="00F33FB3">
        <w:rPr>
          <w:rFonts w:ascii="Arial" w:eastAsia="Calibri" w:hAnsi="Arial" w:cs="Arial"/>
          <w:bCs/>
        </w:rPr>
        <w:tab/>
        <w:t xml:space="preserve">= Reactive Power Tariff (US$/MVAR/Month), as determined by the regional regulatory authority; </w:t>
      </w:r>
    </w:p>
    <w:p w:rsidR="00F33FB3" w:rsidRPr="00F33FB3" w:rsidRDefault="00F33FB3" w:rsidP="00F33FB3">
      <w:pPr>
        <w:jc w:val="both"/>
        <w:rPr>
          <w:rFonts w:ascii="Arial" w:eastAsia="Calibri" w:hAnsi="Arial" w:cs="Arial"/>
          <w:bCs/>
        </w:rPr>
      </w:pPr>
      <w:r w:rsidRPr="00F33FB3">
        <w:rPr>
          <w:rFonts w:ascii="Arial" w:eastAsia="Calibri" w:hAnsi="Arial" w:cs="Arial"/>
          <w:bCs/>
        </w:rPr>
        <w:t>MVAR</w:t>
      </w:r>
      <w:r w:rsidRPr="00F33FB3">
        <w:rPr>
          <w:rFonts w:ascii="Arial" w:eastAsia="Calibri" w:hAnsi="Arial" w:cs="Arial"/>
          <w:bCs/>
          <w:vertAlign w:val="subscript"/>
        </w:rPr>
        <w:t>ACTUAL</w:t>
      </w:r>
      <w:r w:rsidRPr="00F33FB3">
        <w:rPr>
          <w:rFonts w:ascii="Arial" w:eastAsia="Calibri" w:hAnsi="Arial" w:cs="Arial"/>
          <w:bCs/>
        </w:rPr>
        <w:t xml:space="preserve"> </w:t>
      </w:r>
      <w:r w:rsidRPr="00F33FB3">
        <w:rPr>
          <w:rFonts w:ascii="Arial" w:eastAsia="Calibri" w:hAnsi="Arial" w:cs="Arial"/>
          <w:bCs/>
        </w:rPr>
        <w:tab/>
        <w:t xml:space="preserve">= Average Reactive Power Consumption of transmission network user (MVAR); </w:t>
      </w:r>
    </w:p>
    <w:p w:rsidR="00F33FB3" w:rsidRPr="00F33FB3" w:rsidRDefault="00F33FB3" w:rsidP="00F33FB3">
      <w:pPr>
        <w:tabs>
          <w:tab w:val="left" w:pos="1350"/>
        </w:tabs>
        <w:ind w:left="2040" w:hanging="2040"/>
        <w:jc w:val="both"/>
        <w:rPr>
          <w:rFonts w:ascii="Arial" w:eastAsia="Calibri" w:hAnsi="Arial" w:cs="Arial"/>
          <w:bCs/>
        </w:rPr>
      </w:pPr>
      <w:r w:rsidRPr="00F33FB3">
        <w:rPr>
          <w:rFonts w:ascii="Arial" w:eastAsia="Calibri" w:hAnsi="Arial" w:cs="Arial"/>
          <w:bCs/>
        </w:rPr>
        <w:t>PF</w:t>
      </w:r>
      <w:r w:rsidRPr="00F33FB3">
        <w:rPr>
          <w:rFonts w:ascii="Arial" w:eastAsia="Calibri" w:hAnsi="Arial" w:cs="Arial"/>
          <w:bCs/>
          <w:vertAlign w:val="subscript"/>
        </w:rPr>
        <w:t>ACTUAL</w:t>
      </w:r>
      <w:r w:rsidRPr="00F33FB3">
        <w:rPr>
          <w:rFonts w:ascii="Arial" w:eastAsia="Calibri" w:hAnsi="Arial" w:cs="Arial"/>
          <w:bCs/>
        </w:rPr>
        <w:tab/>
        <w:t xml:space="preserve">= Average Power Factor of transmission network user recorded during the billing period. </w:t>
      </w:r>
    </w:p>
    <w:p w:rsidR="00F33FB3" w:rsidRPr="00F33FB3" w:rsidRDefault="00F33FB3" w:rsidP="00F33FB3">
      <w:pPr>
        <w:contextualSpacing/>
        <w:jc w:val="both"/>
        <w:rPr>
          <w:rFonts w:ascii="Arial" w:eastAsia="Calibri" w:hAnsi="Arial" w:cs="Arial"/>
          <w:bCs/>
        </w:rPr>
      </w:pPr>
      <w:r w:rsidRPr="00F33FB3">
        <w:rPr>
          <w:rFonts w:ascii="Arial" w:eastAsia="Calibri" w:hAnsi="Arial" w:cs="Arial"/>
          <w:bCs/>
        </w:rPr>
        <w:t>PF</w:t>
      </w:r>
      <w:r w:rsidRPr="00F33FB3">
        <w:rPr>
          <w:rFonts w:ascii="Arial" w:eastAsia="Calibri" w:hAnsi="Arial" w:cs="Arial"/>
          <w:bCs/>
          <w:vertAlign w:val="subscript"/>
        </w:rPr>
        <w:t>BENCHMARK</w:t>
      </w:r>
      <w:r w:rsidRPr="00F33FB3">
        <w:rPr>
          <w:rFonts w:ascii="Arial" w:eastAsia="Calibri" w:hAnsi="Arial" w:cs="Arial"/>
          <w:bCs/>
        </w:rPr>
        <w:tab/>
        <w:t>= Benchmark Power Factor as defined by the Technical/Grid Code or TSO/SMO.</w:t>
      </w:r>
    </w:p>
    <w:p w:rsidR="00F33FB3" w:rsidRPr="00F33FB3" w:rsidRDefault="00F33FB3" w:rsidP="00F33FB3">
      <w:pPr>
        <w:spacing w:before="240"/>
        <w:contextualSpacing/>
        <w:jc w:val="both"/>
        <w:rPr>
          <w:rFonts w:ascii="Arial" w:eastAsia="Calibri" w:hAnsi="Arial" w:cs="Arial"/>
          <w:bCs/>
        </w:rPr>
      </w:pPr>
    </w:p>
    <w:p w:rsidR="00F33FB3" w:rsidRPr="00F33FB3" w:rsidRDefault="00F33FB3" w:rsidP="00F33FB3">
      <w:pPr>
        <w:pStyle w:val="ListParagraph"/>
        <w:keepNext/>
        <w:keepLines/>
        <w:numPr>
          <w:ilvl w:val="0"/>
          <w:numId w:val="11"/>
        </w:numPr>
        <w:spacing w:before="240" w:after="40"/>
        <w:ind w:left="567" w:hanging="567"/>
        <w:jc w:val="both"/>
        <w:outlineLvl w:val="1"/>
        <w:rPr>
          <w:rFonts w:ascii="Arial" w:eastAsia="SimSun" w:hAnsi="Arial" w:cs="Arial"/>
          <w:b/>
          <w:bCs/>
        </w:rPr>
      </w:pPr>
      <w:r w:rsidRPr="00F33FB3">
        <w:rPr>
          <w:rFonts w:ascii="Arial" w:eastAsia="SimSun" w:hAnsi="Arial" w:cs="Arial"/>
          <w:b/>
          <w:bCs/>
        </w:rPr>
        <w:t>Transmission Tariff Determination</w:t>
      </w:r>
    </w:p>
    <w:p w:rsidR="00F33FB3" w:rsidRPr="00F33FB3" w:rsidRDefault="00F33FB3" w:rsidP="00F33FB3">
      <w:pPr>
        <w:jc w:val="both"/>
        <w:rPr>
          <w:rFonts w:ascii="Arial" w:eastAsia="Calibri" w:hAnsi="Arial" w:cs="Arial"/>
        </w:rPr>
      </w:pPr>
      <w:r w:rsidRPr="00F33FB3">
        <w:rPr>
          <w:rFonts w:ascii="Arial" w:eastAsia="Calibri" w:hAnsi="Arial" w:cs="Arial"/>
        </w:rPr>
        <w:t xml:space="preserve">The transmission tariff is expected to recover infrastructure or network costs and will be denominated as </w:t>
      </w:r>
      <w:r w:rsidRPr="00F33FB3">
        <w:rPr>
          <w:rFonts w:ascii="Arial" w:eastAsia="Calibri" w:hAnsi="Arial" w:cs="Arial"/>
          <w:b/>
          <w:bCs/>
          <w:i/>
          <w:iCs/>
        </w:rPr>
        <w:t xml:space="preserve">per KWh (i.e. cents/kWh) </w:t>
      </w:r>
      <w:r w:rsidRPr="00F33FB3">
        <w:rPr>
          <w:rFonts w:ascii="Arial" w:eastAsia="Calibri" w:hAnsi="Arial" w:cs="Arial"/>
        </w:rPr>
        <w:t>based on</w:t>
      </w:r>
      <w:r w:rsidRPr="00F33FB3">
        <w:rPr>
          <w:rFonts w:ascii="Arial" w:eastAsia="Calibri" w:hAnsi="Arial" w:cs="Arial"/>
          <w:b/>
          <w:bCs/>
          <w:i/>
          <w:iCs/>
        </w:rPr>
        <w:t xml:space="preserve"> reserved capacities (MW), which would be used to determine the associated energy. </w:t>
      </w:r>
      <w:r w:rsidRPr="00F33FB3">
        <w:rPr>
          <w:rFonts w:ascii="Arial" w:eastAsia="Calibri" w:hAnsi="Arial" w:cs="Arial"/>
        </w:rPr>
        <w:t xml:space="preserve">The SMO will monitor all bilateral trades for the transmission tariff and the cost of transmission losses and pay each TSO </w:t>
      </w:r>
      <w:r w:rsidRPr="00F33FB3">
        <w:rPr>
          <w:rFonts w:ascii="Arial" w:eastAsia="Calibri" w:hAnsi="Arial" w:cs="Arial"/>
          <w:bCs/>
          <w:i/>
          <w:iCs/>
        </w:rPr>
        <w:t>its portion of allocated transmission network revenue as well as revenue from network losses</w:t>
      </w:r>
      <w:r w:rsidRPr="00F33FB3">
        <w:rPr>
          <w:rFonts w:ascii="Arial" w:eastAsia="Calibri" w:hAnsi="Arial" w:cs="Arial"/>
          <w:i/>
        </w:rPr>
        <w:t>.</w:t>
      </w:r>
      <w:r w:rsidRPr="00F33FB3">
        <w:rPr>
          <w:rFonts w:ascii="Arial" w:eastAsia="Calibri" w:hAnsi="Arial" w:cs="Arial"/>
        </w:rPr>
        <w:t xml:space="preserve"> The SMO will also pay the power utilities their revenue for </w:t>
      </w:r>
      <w:r w:rsidRPr="00F33FB3">
        <w:rPr>
          <w:rFonts w:ascii="Arial" w:eastAsia="Calibri" w:hAnsi="Arial" w:cs="Arial"/>
          <w:bCs/>
        </w:rPr>
        <w:t>reactive power compensation</w:t>
      </w:r>
      <w:r w:rsidRPr="00F33FB3">
        <w:rPr>
          <w:rFonts w:ascii="Arial" w:eastAsia="Calibri" w:hAnsi="Arial" w:cs="Arial"/>
        </w:rPr>
        <w:t xml:space="preserve">. The payment for </w:t>
      </w:r>
      <w:r w:rsidRPr="00F33FB3">
        <w:rPr>
          <w:rFonts w:ascii="Arial" w:eastAsia="Calibri" w:hAnsi="Arial" w:cs="Arial"/>
          <w:i/>
        </w:rPr>
        <w:t>scheduled firm quantities</w:t>
      </w:r>
      <w:r w:rsidRPr="00F33FB3">
        <w:rPr>
          <w:rFonts w:ascii="Arial" w:eastAsia="Calibri" w:hAnsi="Arial" w:cs="Arial"/>
        </w:rPr>
        <w:t xml:space="preserve"> is calculated based on the transmission customer’s</w:t>
      </w:r>
      <w:r w:rsidRPr="00F33FB3">
        <w:rPr>
          <w:rFonts w:ascii="Arial" w:eastAsia="Calibri" w:hAnsi="Arial" w:cs="Arial"/>
          <w:b/>
        </w:rPr>
        <w:t xml:space="preserve"> </w:t>
      </w:r>
      <w:r w:rsidRPr="00F33FB3">
        <w:rPr>
          <w:rFonts w:ascii="Arial" w:eastAsia="Calibri" w:hAnsi="Arial" w:cs="Arial"/>
          <w:i/>
        </w:rPr>
        <w:t>reserved capacity (MW) multiplied by the applicable tariff</w:t>
      </w:r>
      <w:r w:rsidRPr="00F33FB3">
        <w:rPr>
          <w:rFonts w:ascii="Arial" w:eastAsia="Calibri" w:hAnsi="Arial" w:cs="Arial"/>
          <w:b/>
        </w:rPr>
        <w:t xml:space="preserve"> </w:t>
      </w:r>
      <w:r w:rsidRPr="00F33FB3">
        <w:rPr>
          <w:rFonts w:ascii="Arial" w:eastAsia="Calibri" w:hAnsi="Arial" w:cs="Arial"/>
          <w:i/>
        </w:rPr>
        <w:t>rate</w:t>
      </w:r>
      <w:r w:rsidRPr="00F33FB3">
        <w:rPr>
          <w:rFonts w:ascii="Arial" w:eastAsia="Calibri" w:hAnsi="Arial" w:cs="Arial"/>
          <w:b/>
        </w:rPr>
        <w:t xml:space="preserve"> </w:t>
      </w:r>
      <w:r w:rsidRPr="00F33FB3">
        <w:rPr>
          <w:rFonts w:ascii="Arial" w:eastAsia="Calibri" w:hAnsi="Arial" w:cs="Arial"/>
        </w:rPr>
        <w:t>as follows:</w:t>
      </w:r>
    </w:p>
    <w:p w:rsidR="00F33FB3" w:rsidRPr="00F33FB3" w:rsidRDefault="00F33FB3" w:rsidP="00F33FB3">
      <w:pPr>
        <w:contextualSpacing/>
        <w:jc w:val="both"/>
        <w:rPr>
          <w:rFonts w:ascii="Arial" w:eastAsia="Calibri" w:hAnsi="Arial" w:cs="Arial"/>
          <w:b/>
          <w:i/>
        </w:rPr>
      </w:pPr>
      <w:r w:rsidRPr="00F33FB3">
        <w:rPr>
          <w:rFonts w:ascii="Arial" w:eastAsia="Calibri" w:hAnsi="Arial" w:cs="Arial"/>
          <w:b/>
          <w:i/>
        </w:rPr>
        <w:t>Tariff Revenue (US$) = Tariff (US$/</w:t>
      </w:r>
      <w:proofErr w:type="spellStart"/>
      <w:r w:rsidRPr="00F33FB3">
        <w:rPr>
          <w:rFonts w:ascii="Arial" w:eastAsia="Calibri" w:hAnsi="Arial" w:cs="Arial"/>
          <w:b/>
          <w:i/>
        </w:rPr>
        <w:t>MWh</w:t>
      </w:r>
      <w:proofErr w:type="spellEnd"/>
      <w:r w:rsidRPr="00F33FB3">
        <w:rPr>
          <w:rFonts w:ascii="Arial" w:eastAsia="Calibri" w:hAnsi="Arial" w:cs="Arial"/>
          <w:b/>
          <w:i/>
        </w:rPr>
        <w:t xml:space="preserve">) x Reserved Capacity (MW) x Number of hours (h) </w:t>
      </w:r>
    </w:p>
    <w:p w:rsidR="00F33FB3" w:rsidRPr="00F33FB3" w:rsidRDefault="00F33FB3" w:rsidP="00F33FB3">
      <w:pPr>
        <w:pStyle w:val="ListParagraph"/>
        <w:keepNext/>
        <w:keepLines/>
        <w:numPr>
          <w:ilvl w:val="0"/>
          <w:numId w:val="11"/>
        </w:numPr>
        <w:spacing w:before="360" w:after="40"/>
        <w:ind w:left="567" w:hanging="567"/>
        <w:jc w:val="both"/>
        <w:outlineLvl w:val="1"/>
        <w:rPr>
          <w:rFonts w:ascii="Arial" w:eastAsia="SimSun" w:hAnsi="Arial" w:cs="Arial"/>
          <w:b/>
          <w:bCs/>
        </w:rPr>
      </w:pPr>
      <w:r w:rsidRPr="00F33FB3">
        <w:rPr>
          <w:rFonts w:ascii="Arial" w:eastAsia="SimSun" w:hAnsi="Arial" w:cs="Arial"/>
          <w:b/>
          <w:bCs/>
        </w:rPr>
        <w:lastRenderedPageBreak/>
        <w:t>Results from Computational Model</w:t>
      </w:r>
    </w:p>
    <w:p w:rsidR="00F33FB3" w:rsidRPr="00F33FB3" w:rsidRDefault="00F33FB3" w:rsidP="00F33FB3">
      <w:pPr>
        <w:jc w:val="both"/>
        <w:rPr>
          <w:rFonts w:ascii="Arial" w:eastAsia="Calibri" w:hAnsi="Arial" w:cs="Arial"/>
        </w:rPr>
      </w:pPr>
      <w:r w:rsidRPr="00F33FB3">
        <w:rPr>
          <w:rFonts w:ascii="Arial" w:eastAsia="Calibri" w:hAnsi="Arial" w:cs="Arial"/>
        </w:rPr>
        <w:t xml:space="preserve">A tariff computational model was developed based on the tariff methodology. The tariff results are presented below for the following international transactions in tables 1 and 2: </w:t>
      </w:r>
      <w:r w:rsidRPr="00F33FB3">
        <w:rPr>
          <w:rFonts w:ascii="Arial" w:eastAsia="Calibri" w:hAnsi="Arial" w:cs="Arial"/>
          <w:b/>
        </w:rPr>
        <w:t>i.</w:t>
      </w:r>
      <w:r w:rsidRPr="00F33FB3">
        <w:rPr>
          <w:rFonts w:ascii="Arial" w:eastAsia="Calibri" w:hAnsi="Arial" w:cs="Arial"/>
        </w:rPr>
        <w:t xml:space="preserve"> </w:t>
      </w:r>
      <w:r w:rsidRPr="00F33FB3">
        <w:rPr>
          <w:rFonts w:ascii="Arial" w:eastAsia="Calibri" w:hAnsi="Arial" w:cs="Arial"/>
          <w:b/>
        </w:rPr>
        <w:t>Cote d’Ivoire-Burkina Faso and Mali Transactions</w:t>
      </w:r>
      <w:r w:rsidRPr="00F33FB3">
        <w:rPr>
          <w:rFonts w:ascii="Arial" w:eastAsia="Calibri" w:hAnsi="Arial" w:cs="Arial"/>
        </w:rPr>
        <w:t xml:space="preserve"> </w:t>
      </w:r>
      <w:r w:rsidRPr="00F33FB3">
        <w:rPr>
          <w:rFonts w:ascii="Arial" w:eastAsia="Calibri" w:hAnsi="Arial" w:cs="Arial"/>
          <w:b/>
        </w:rPr>
        <w:t>ii</w:t>
      </w:r>
      <w:r w:rsidRPr="00F33FB3">
        <w:rPr>
          <w:rFonts w:ascii="Arial" w:eastAsia="Calibri" w:hAnsi="Arial" w:cs="Arial"/>
        </w:rPr>
        <w:t xml:space="preserve">. </w:t>
      </w:r>
      <w:r w:rsidRPr="00F33FB3">
        <w:rPr>
          <w:rFonts w:ascii="Arial" w:eastAsia="Calibri" w:hAnsi="Arial" w:cs="Arial"/>
          <w:b/>
          <w:bCs/>
          <w:iCs/>
        </w:rPr>
        <w:t>Nigeria – CEB (Benin and Togo) Transaction iii.</w:t>
      </w:r>
      <w:r w:rsidRPr="00F33FB3">
        <w:rPr>
          <w:rFonts w:ascii="Arial" w:eastAsia="Calibri" w:hAnsi="Arial" w:cs="Arial"/>
          <w:b/>
        </w:rPr>
        <w:t xml:space="preserve"> </w:t>
      </w:r>
      <w:r w:rsidRPr="00F33FB3">
        <w:rPr>
          <w:rFonts w:ascii="Arial" w:eastAsia="Calibri" w:hAnsi="Arial" w:cs="Arial"/>
          <w:b/>
          <w:bCs/>
          <w:iCs/>
        </w:rPr>
        <w:t>Republic of Congo–Democratic Republic of Congo (DRC) Transaction</w:t>
      </w:r>
    </w:p>
    <w:p w:rsidR="00F33FB3" w:rsidRPr="00F33FB3" w:rsidRDefault="00F33FB3" w:rsidP="00F33FB3">
      <w:pPr>
        <w:pStyle w:val="ListParagraph"/>
        <w:keepNext/>
        <w:keepLines/>
        <w:numPr>
          <w:ilvl w:val="0"/>
          <w:numId w:val="11"/>
        </w:numPr>
        <w:spacing w:before="360" w:after="40"/>
        <w:ind w:left="567" w:hanging="567"/>
        <w:jc w:val="both"/>
        <w:outlineLvl w:val="1"/>
        <w:rPr>
          <w:rFonts w:ascii="Arial" w:eastAsia="SimSun" w:hAnsi="Arial" w:cs="Arial"/>
          <w:b/>
          <w:bCs/>
        </w:rPr>
      </w:pPr>
      <w:r w:rsidRPr="00F33FB3">
        <w:rPr>
          <w:rFonts w:ascii="Arial" w:eastAsia="SimSun" w:hAnsi="Arial" w:cs="Arial"/>
          <w:b/>
          <w:bCs/>
        </w:rPr>
        <w:t>Tariff Results from Tariff Computational Model</w:t>
      </w:r>
    </w:p>
    <w:p w:rsidR="00F33FB3" w:rsidRPr="00F33FB3" w:rsidRDefault="00F33FB3" w:rsidP="00F33FB3">
      <w:pPr>
        <w:jc w:val="both"/>
        <w:rPr>
          <w:rFonts w:ascii="Arial" w:eastAsia="Calibri" w:hAnsi="Arial" w:cs="Arial"/>
          <w:bCs/>
          <w:iCs/>
        </w:rPr>
      </w:pPr>
      <w:r w:rsidRPr="00F33FB3">
        <w:rPr>
          <w:rFonts w:ascii="Arial" w:eastAsia="Calibri" w:hAnsi="Arial" w:cs="Arial"/>
          <w:bCs/>
          <w:iCs/>
        </w:rPr>
        <w:t xml:space="preserve">The cost reflective tariff should enable the TSO to recover the full cost of its participating assets, such that the transmission tariff will generate adequate cash flow by satisfying the following conditions: </w:t>
      </w:r>
    </w:p>
    <w:p w:rsidR="00F33FB3" w:rsidRPr="00F33FB3" w:rsidRDefault="00F33FB3" w:rsidP="00F33FB3">
      <w:pPr>
        <w:jc w:val="both"/>
        <w:rPr>
          <w:rFonts w:ascii="Arial" w:eastAsia="Calibri" w:hAnsi="Arial" w:cs="Arial"/>
          <w:bCs/>
          <w:iCs/>
        </w:rPr>
      </w:pPr>
    </w:p>
    <w:p w:rsidR="00F33FB3" w:rsidRPr="00F33FB3" w:rsidRDefault="00F33FB3" w:rsidP="00F33FB3">
      <w:pPr>
        <w:jc w:val="both"/>
        <w:rPr>
          <w:rFonts w:ascii="Arial" w:eastAsia="Calibri" w:hAnsi="Arial" w:cs="Arial"/>
          <w:b/>
          <w:bCs/>
          <w:i/>
          <w:iCs/>
        </w:rPr>
      </w:pPr>
      <w:r w:rsidRPr="00F33FB3">
        <w:rPr>
          <w:rFonts w:ascii="Arial" w:eastAsia="Calibri" w:hAnsi="Arial" w:cs="Arial"/>
          <w:b/>
          <w:bCs/>
          <w:i/>
          <w:iCs/>
        </w:rPr>
        <w:t>Net Present Value (NPV)&gt;0; Rate of Return (</w:t>
      </w:r>
      <w:proofErr w:type="spellStart"/>
      <w:r w:rsidRPr="00F33FB3">
        <w:rPr>
          <w:rFonts w:ascii="Arial" w:eastAsia="Calibri" w:hAnsi="Arial" w:cs="Arial"/>
          <w:b/>
          <w:bCs/>
          <w:i/>
          <w:iCs/>
        </w:rPr>
        <w:t>RoR</w:t>
      </w:r>
      <w:proofErr w:type="spellEnd"/>
      <w:r w:rsidRPr="00F33FB3">
        <w:rPr>
          <w:rFonts w:ascii="Arial" w:eastAsia="Calibri" w:hAnsi="Arial" w:cs="Arial"/>
          <w:b/>
          <w:bCs/>
          <w:i/>
          <w:iCs/>
        </w:rPr>
        <w:t>) = Cost of Capital; and Internal Rate of Return &gt; Cost of Capital.</w:t>
      </w:r>
    </w:p>
    <w:p w:rsidR="00F33FB3" w:rsidRPr="00F33FB3" w:rsidRDefault="00F33FB3" w:rsidP="00F33FB3">
      <w:pPr>
        <w:contextualSpacing/>
        <w:jc w:val="both"/>
        <w:outlineLvl w:val="1"/>
        <w:rPr>
          <w:rFonts w:ascii="Arial" w:eastAsia="Calibri" w:hAnsi="Arial" w:cs="Arial"/>
          <w:bCs/>
          <w:iCs/>
        </w:rPr>
      </w:pPr>
    </w:p>
    <w:p w:rsidR="00F33FB3" w:rsidRPr="00F33FB3" w:rsidRDefault="00F33FB3" w:rsidP="00F33FB3">
      <w:pPr>
        <w:numPr>
          <w:ilvl w:val="0"/>
          <w:numId w:val="12"/>
        </w:numPr>
        <w:contextualSpacing/>
        <w:jc w:val="both"/>
        <w:outlineLvl w:val="1"/>
        <w:rPr>
          <w:rFonts w:ascii="Arial" w:eastAsia="Calibri" w:hAnsi="Arial" w:cs="Arial"/>
          <w:b/>
          <w:bCs/>
          <w:iCs/>
        </w:rPr>
      </w:pPr>
      <w:r w:rsidRPr="00F33FB3">
        <w:rPr>
          <w:rFonts w:ascii="Arial" w:eastAsia="Calibri" w:hAnsi="Arial" w:cs="Arial"/>
          <w:b/>
          <w:bCs/>
          <w:iCs/>
        </w:rPr>
        <w:t>Results from Tariff Model for the condition NPV= 0</w:t>
      </w:r>
    </w:p>
    <w:p w:rsidR="00F33FB3" w:rsidRPr="00F33FB3" w:rsidRDefault="00F33FB3" w:rsidP="00F33FB3">
      <w:pPr>
        <w:jc w:val="both"/>
        <w:rPr>
          <w:rFonts w:ascii="Arial" w:eastAsia="Calibri" w:hAnsi="Arial" w:cs="Arial"/>
          <w:b/>
          <w:bCs/>
          <w:i/>
          <w:iCs/>
        </w:rPr>
      </w:pPr>
      <w:r w:rsidRPr="00F33FB3">
        <w:rPr>
          <w:rFonts w:ascii="Arial" w:eastAsia="Calibri" w:hAnsi="Arial" w:cs="Arial"/>
          <w:bCs/>
          <w:iCs/>
        </w:rPr>
        <w:t>The table presents a summary of the results for the selected international transactions for NPV=0</w:t>
      </w:r>
      <w:r w:rsidRPr="00F33FB3">
        <w:rPr>
          <w:rFonts w:ascii="Arial" w:eastAsia="Calibri" w:hAnsi="Arial" w:cs="Arial"/>
          <w:bCs/>
          <w:i/>
          <w:iCs/>
        </w:rPr>
        <w:t>. At a cost of capital of 10%, the Rate of Return (</w:t>
      </w:r>
      <w:proofErr w:type="spellStart"/>
      <w:r w:rsidRPr="00F33FB3">
        <w:rPr>
          <w:rFonts w:ascii="Arial" w:eastAsia="Calibri" w:hAnsi="Arial" w:cs="Arial"/>
          <w:bCs/>
          <w:i/>
          <w:iCs/>
        </w:rPr>
        <w:t>RoR</w:t>
      </w:r>
      <w:proofErr w:type="spellEnd"/>
      <w:r w:rsidRPr="00F33FB3">
        <w:rPr>
          <w:rFonts w:ascii="Arial" w:eastAsia="Calibri" w:hAnsi="Arial" w:cs="Arial"/>
          <w:bCs/>
          <w:i/>
          <w:iCs/>
        </w:rPr>
        <w:t xml:space="preserve">) earned on the regulated asset base (RAB) for each of the transactions, is less than the WACC (10%). </w:t>
      </w:r>
      <w:r w:rsidRPr="00F33FB3">
        <w:rPr>
          <w:rFonts w:ascii="Arial" w:eastAsia="Calibri" w:hAnsi="Arial" w:cs="Arial"/>
          <w:bCs/>
          <w:iCs/>
        </w:rPr>
        <w:t>This means the indicated tariffs in the table will not yield</w:t>
      </w:r>
      <w:r w:rsidRPr="00F33FB3">
        <w:rPr>
          <w:rFonts w:ascii="Arial" w:eastAsia="Calibri" w:hAnsi="Arial" w:cs="Arial"/>
          <w:b/>
          <w:bCs/>
          <w:i/>
          <w:iCs/>
        </w:rPr>
        <w:t xml:space="preserve"> a financially viable transaction.</w:t>
      </w:r>
    </w:p>
    <w:p w:rsidR="00F33FB3" w:rsidRPr="00F33FB3" w:rsidRDefault="00F33FB3" w:rsidP="00F33FB3">
      <w:pPr>
        <w:jc w:val="both"/>
        <w:rPr>
          <w:rFonts w:ascii="Arial" w:eastAsia="Calibri" w:hAnsi="Arial" w:cs="Arial"/>
          <w:b/>
          <w:bCs/>
          <w:iCs/>
        </w:rPr>
      </w:pPr>
    </w:p>
    <w:p w:rsidR="00F33FB3" w:rsidRPr="00F33FB3" w:rsidRDefault="00F33FB3" w:rsidP="00F33FB3">
      <w:pPr>
        <w:jc w:val="both"/>
        <w:rPr>
          <w:rFonts w:ascii="Arial" w:eastAsia="Calibri" w:hAnsi="Arial" w:cs="Arial"/>
          <w:b/>
          <w:bCs/>
          <w:iCs/>
        </w:rPr>
      </w:pPr>
      <w:r w:rsidRPr="00F33FB3">
        <w:rPr>
          <w:rFonts w:ascii="Arial" w:eastAsia="Calibri" w:hAnsi="Arial" w:cs="Arial"/>
          <w:b/>
          <w:bCs/>
          <w:iCs/>
        </w:rPr>
        <w:t xml:space="preserve">Table 1. </w:t>
      </w:r>
      <w:r w:rsidRPr="00F33FB3">
        <w:rPr>
          <w:rFonts w:ascii="Arial" w:eastAsia="Calibri" w:hAnsi="Arial" w:cs="Arial"/>
          <w:b/>
          <w:bCs/>
          <w:iCs/>
        </w:rPr>
        <w:tab/>
        <w:t>Results from Tariff Model: NPV = 0; WACC=10%.</w:t>
      </w:r>
    </w:p>
    <w:tbl>
      <w:tblPr>
        <w:tblW w:w="110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50"/>
        <w:gridCol w:w="1039"/>
        <w:gridCol w:w="1217"/>
        <w:gridCol w:w="729"/>
        <w:gridCol w:w="628"/>
        <w:gridCol w:w="784"/>
        <w:gridCol w:w="1339"/>
        <w:gridCol w:w="1217"/>
        <w:gridCol w:w="1006"/>
        <w:gridCol w:w="1206"/>
        <w:gridCol w:w="1260"/>
      </w:tblGrid>
      <w:tr w:rsidR="00F33FB3" w:rsidRPr="00F33FB3" w:rsidTr="00C8484C">
        <w:trPr>
          <w:trHeight w:val="121"/>
          <w:jc w:val="center"/>
        </w:trPr>
        <w:tc>
          <w:tcPr>
            <w:tcW w:w="1237" w:type="dxa"/>
            <w:tcBorders>
              <w:top w:val="single" w:sz="8" w:space="0" w:color="auto"/>
              <w:left w:val="single" w:sz="8" w:space="0" w:color="auto"/>
              <w:bottom w:val="single" w:sz="8" w:space="0" w:color="auto"/>
            </w:tcBorders>
            <w:shd w:val="clear" w:color="auto" w:fill="D2DBE2"/>
            <w:noWrap/>
            <w:hideMark/>
          </w:tcPr>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Transaction</w:t>
            </w:r>
          </w:p>
        </w:tc>
        <w:tc>
          <w:tcPr>
            <w:tcW w:w="957" w:type="dxa"/>
            <w:tcBorders>
              <w:top w:val="single" w:sz="8" w:space="0" w:color="auto"/>
              <w:bottom w:val="single" w:sz="8" w:space="0" w:color="auto"/>
            </w:tcBorders>
            <w:shd w:val="clear" w:color="auto" w:fill="D2DBE2"/>
            <w:noWrap/>
            <w:hideMark/>
          </w:tcPr>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Wheeled Power (MW)</w:t>
            </w:r>
          </w:p>
        </w:tc>
        <w:tc>
          <w:tcPr>
            <w:tcW w:w="1117" w:type="dxa"/>
            <w:tcBorders>
              <w:top w:val="single" w:sz="8" w:space="0" w:color="auto"/>
              <w:bottom w:val="single" w:sz="8" w:space="0" w:color="auto"/>
            </w:tcBorders>
            <w:shd w:val="clear" w:color="auto" w:fill="D2DBE2"/>
            <w:noWrap/>
          </w:tcPr>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 xml:space="preserve">Tariff </w:t>
            </w:r>
          </w:p>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US cents/kWh</w:t>
            </w:r>
          </w:p>
        </w:tc>
        <w:tc>
          <w:tcPr>
            <w:tcW w:w="729" w:type="dxa"/>
            <w:tcBorders>
              <w:top w:val="single" w:sz="8" w:space="0" w:color="auto"/>
              <w:bottom w:val="single" w:sz="8" w:space="0" w:color="auto"/>
            </w:tcBorders>
            <w:shd w:val="clear" w:color="auto" w:fill="D2DBE2"/>
            <w:noWrap/>
          </w:tcPr>
          <w:p w:rsidR="00F33FB3" w:rsidRPr="00F33FB3" w:rsidRDefault="00F33FB3" w:rsidP="00C8484C">
            <w:pPr>
              <w:rPr>
                <w:rFonts w:ascii="Arial" w:hAnsi="Arial" w:cs="Arial"/>
                <w:b/>
                <w:bCs/>
                <w:sz w:val="20"/>
                <w:szCs w:val="20"/>
                <w:lang w:eastAsia="en-GB"/>
              </w:rPr>
            </w:pPr>
            <w:proofErr w:type="spellStart"/>
            <w:r w:rsidRPr="00F33FB3">
              <w:rPr>
                <w:rFonts w:ascii="Arial" w:hAnsi="Arial" w:cs="Arial"/>
                <w:b/>
                <w:bCs/>
                <w:sz w:val="20"/>
                <w:szCs w:val="20"/>
                <w:lang w:eastAsia="en-GB"/>
              </w:rPr>
              <w:t>RoR</w:t>
            </w:r>
            <w:proofErr w:type="spellEnd"/>
            <w:r w:rsidRPr="00F33FB3">
              <w:rPr>
                <w:rFonts w:ascii="Arial" w:hAnsi="Arial" w:cs="Arial"/>
                <w:b/>
                <w:bCs/>
                <w:sz w:val="20"/>
                <w:szCs w:val="20"/>
                <w:lang w:eastAsia="en-GB"/>
              </w:rPr>
              <w:t xml:space="preserve"> </w:t>
            </w:r>
          </w:p>
          <w:p w:rsidR="00F33FB3" w:rsidRPr="00F33FB3" w:rsidRDefault="00F33FB3" w:rsidP="00C8484C">
            <w:pPr>
              <w:rPr>
                <w:rFonts w:ascii="Arial" w:hAnsi="Arial" w:cs="Arial"/>
                <w:b/>
                <w:bCs/>
                <w:sz w:val="20"/>
                <w:szCs w:val="20"/>
                <w:lang w:eastAsia="en-GB"/>
              </w:rPr>
            </w:pPr>
          </w:p>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w:t>
            </w:r>
          </w:p>
        </w:tc>
        <w:tc>
          <w:tcPr>
            <w:tcW w:w="587" w:type="dxa"/>
            <w:tcBorders>
              <w:top w:val="single" w:sz="8" w:space="0" w:color="auto"/>
              <w:bottom w:val="single" w:sz="8" w:space="0" w:color="auto"/>
            </w:tcBorders>
            <w:shd w:val="clear" w:color="auto" w:fill="D2DBE2"/>
          </w:tcPr>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NPV</w:t>
            </w:r>
          </w:p>
          <w:p w:rsidR="00F33FB3" w:rsidRPr="00F33FB3" w:rsidRDefault="00F33FB3" w:rsidP="00C8484C">
            <w:pPr>
              <w:rPr>
                <w:rFonts w:ascii="Arial" w:hAnsi="Arial" w:cs="Arial"/>
                <w:b/>
                <w:bCs/>
                <w:sz w:val="20"/>
                <w:szCs w:val="20"/>
                <w:lang w:eastAsia="en-GB"/>
              </w:rPr>
            </w:pPr>
          </w:p>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US$</w:t>
            </w:r>
          </w:p>
        </w:tc>
        <w:tc>
          <w:tcPr>
            <w:tcW w:w="727" w:type="dxa"/>
            <w:tcBorders>
              <w:top w:val="single" w:sz="8" w:space="0" w:color="auto"/>
              <w:bottom w:val="single" w:sz="8" w:space="0" w:color="auto"/>
            </w:tcBorders>
            <w:shd w:val="clear" w:color="auto" w:fill="D2DBE2"/>
            <w:noWrap/>
          </w:tcPr>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IRR</w:t>
            </w:r>
          </w:p>
          <w:p w:rsidR="00F33FB3" w:rsidRPr="00F33FB3" w:rsidRDefault="00F33FB3" w:rsidP="00C8484C">
            <w:pPr>
              <w:rPr>
                <w:rFonts w:ascii="Arial" w:hAnsi="Arial" w:cs="Arial"/>
                <w:b/>
                <w:bCs/>
                <w:sz w:val="20"/>
                <w:szCs w:val="20"/>
                <w:lang w:eastAsia="en-GB"/>
              </w:rPr>
            </w:pPr>
          </w:p>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w:t>
            </w:r>
          </w:p>
        </w:tc>
        <w:tc>
          <w:tcPr>
            <w:tcW w:w="1227" w:type="dxa"/>
            <w:tcBorders>
              <w:top w:val="single" w:sz="8" w:space="0" w:color="auto"/>
              <w:bottom w:val="single" w:sz="8" w:space="0" w:color="auto"/>
            </w:tcBorders>
            <w:shd w:val="clear" w:color="auto" w:fill="D2DBE2"/>
            <w:noWrap/>
            <w:vAlign w:val="bottom"/>
            <w:hideMark/>
          </w:tcPr>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Average Incremental Losses- MW/day</w:t>
            </w:r>
          </w:p>
        </w:tc>
        <w:tc>
          <w:tcPr>
            <w:tcW w:w="1149" w:type="dxa"/>
            <w:tcBorders>
              <w:top w:val="single" w:sz="8" w:space="0" w:color="auto"/>
              <w:bottom w:val="single" w:sz="8" w:space="0" w:color="auto"/>
            </w:tcBorders>
            <w:shd w:val="clear" w:color="auto" w:fill="D2DBE2"/>
            <w:noWrap/>
            <w:hideMark/>
          </w:tcPr>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Network Loss- cents/kWh</w:t>
            </w:r>
          </w:p>
        </w:tc>
        <w:tc>
          <w:tcPr>
            <w:tcW w:w="990" w:type="dxa"/>
            <w:tcBorders>
              <w:top w:val="single" w:sz="8" w:space="0" w:color="auto"/>
              <w:bottom w:val="single" w:sz="8" w:space="0" w:color="auto"/>
            </w:tcBorders>
            <w:shd w:val="clear" w:color="auto" w:fill="D2DBE2"/>
            <w:noWrap/>
            <w:vAlign w:val="bottom"/>
            <w:hideMark/>
          </w:tcPr>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Network Loss per Month</w:t>
            </w:r>
          </w:p>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(US$)</w:t>
            </w:r>
          </w:p>
        </w:tc>
        <w:tc>
          <w:tcPr>
            <w:tcW w:w="1107" w:type="dxa"/>
            <w:tcBorders>
              <w:top w:val="single" w:sz="8" w:space="0" w:color="auto"/>
              <w:bottom w:val="single" w:sz="8" w:space="0" w:color="auto"/>
            </w:tcBorders>
            <w:shd w:val="clear" w:color="auto" w:fill="D2DBE2"/>
            <w:noWrap/>
            <w:vAlign w:val="bottom"/>
            <w:hideMark/>
          </w:tcPr>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Average Reactive Power- MVAR/day</w:t>
            </w:r>
          </w:p>
        </w:tc>
        <w:tc>
          <w:tcPr>
            <w:tcW w:w="1260" w:type="dxa"/>
            <w:tcBorders>
              <w:top w:val="single" w:sz="8" w:space="0" w:color="auto"/>
              <w:bottom w:val="single" w:sz="8" w:space="0" w:color="auto"/>
              <w:right w:val="single" w:sz="8" w:space="0" w:color="auto"/>
            </w:tcBorders>
            <w:shd w:val="clear" w:color="auto" w:fill="D2DBE2"/>
            <w:noWrap/>
            <w:vAlign w:val="bottom"/>
            <w:hideMark/>
          </w:tcPr>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 xml:space="preserve">Reactive Factor- </w:t>
            </w:r>
          </w:p>
          <w:p w:rsidR="00F33FB3" w:rsidRPr="00F33FB3" w:rsidRDefault="00F33FB3" w:rsidP="00C8484C">
            <w:pPr>
              <w:rPr>
                <w:rFonts w:ascii="Arial" w:hAnsi="Arial" w:cs="Arial"/>
                <w:b/>
                <w:bCs/>
                <w:sz w:val="20"/>
                <w:szCs w:val="20"/>
                <w:lang w:eastAsia="en-GB"/>
              </w:rPr>
            </w:pPr>
            <w:r w:rsidRPr="00F33FB3">
              <w:rPr>
                <w:rFonts w:ascii="Arial" w:hAnsi="Arial" w:cs="Arial"/>
                <w:b/>
                <w:bCs/>
                <w:sz w:val="20"/>
                <w:szCs w:val="20"/>
                <w:lang w:eastAsia="en-GB"/>
              </w:rPr>
              <w:t>U$/ Month</w:t>
            </w:r>
          </w:p>
        </w:tc>
      </w:tr>
      <w:tr w:rsidR="00F33FB3" w:rsidRPr="00F33FB3" w:rsidTr="00C8484C">
        <w:trPr>
          <w:trHeight w:val="25"/>
          <w:jc w:val="center"/>
        </w:trPr>
        <w:tc>
          <w:tcPr>
            <w:tcW w:w="1237" w:type="dxa"/>
            <w:tcBorders>
              <w:top w:val="single" w:sz="8" w:space="0" w:color="auto"/>
              <w:left w:val="single" w:sz="8" w:space="0" w:color="auto"/>
              <w:bottom w:val="single" w:sz="4" w:space="0" w:color="auto"/>
            </w:tcBorders>
            <w:noWrap/>
            <w:vAlign w:val="bottom"/>
            <w:hideMark/>
          </w:tcPr>
          <w:p w:rsidR="00F33FB3" w:rsidRPr="00F33FB3" w:rsidRDefault="00F33FB3" w:rsidP="00C8484C">
            <w:pPr>
              <w:rPr>
                <w:rFonts w:ascii="Arial" w:hAnsi="Arial" w:cs="Arial"/>
                <w:color w:val="000000"/>
                <w:sz w:val="20"/>
                <w:szCs w:val="20"/>
                <w:lang w:eastAsia="en-GB"/>
              </w:rPr>
            </w:pPr>
            <w:r w:rsidRPr="00F33FB3">
              <w:rPr>
                <w:rFonts w:ascii="Arial" w:hAnsi="Arial" w:cs="Arial"/>
                <w:color w:val="000000"/>
                <w:sz w:val="20"/>
                <w:szCs w:val="20"/>
                <w:lang w:eastAsia="en-GB"/>
              </w:rPr>
              <w:t>Cote d'Ivoire-Burkina Faso</w:t>
            </w:r>
          </w:p>
        </w:tc>
        <w:tc>
          <w:tcPr>
            <w:tcW w:w="957" w:type="dxa"/>
            <w:tcBorders>
              <w:top w:val="single" w:sz="8" w:space="0" w:color="auto"/>
              <w:bottom w:val="single" w:sz="4" w:space="0" w:color="auto"/>
            </w:tcBorders>
            <w:noWrap/>
            <w:vAlign w:val="center"/>
            <w:hideMark/>
          </w:tcPr>
          <w:p w:rsidR="00F33FB3" w:rsidRPr="00F33FB3" w:rsidRDefault="00F33FB3" w:rsidP="00C8484C">
            <w:pPr>
              <w:rPr>
                <w:rFonts w:ascii="Arial" w:hAnsi="Arial" w:cs="Arial"/>
                <w:color w:val="000000"/>
                <w:sz w:val="20"/>
                <w:szCs w:val="20"/>
                <w:lang w:eastAsia="en-GB"/>
              </w:rPr>
            </w:pPr>
            <w:r w:rsidRPr="00F33FB3">
              <w:rPr>
                <w:rFonts w:ascii="Arial" w:hAnsi="Arial" w:cs="Arial"/>
                <w:color w:val="000000"/>
                <w:sz w:val="20"/>
                <w:szCs w:val="20"/>
                <w:lang w:eastAsia="en-GB"/>
              </w:rPr>
              <w:t>81</w:t>
            </w:r>
          </w:p>
        </w:tc>
        <w:tc>
          <w:tcPr>
            <w:tcW w:w="1117" w:type="dxa"/>
            <w:tcBorders>
              <w:top w:val="single" w:sz="8" w:space="0" w:color="auto"/>
              <w:bottom w:val="single" w:sz="4" w:space="0" w:color="auto"/>
            </w:tcBorders>
            <w:noWrap/>
            <w:vAlign w:val="center"/>
            <w:hideMark/>
          </w:tcPr>
          <w:p w:rsidR="00F33FB3" w:rsidRPr="00F33FB3" w:rsidRDefault="00F33FB3" w:rsidP="00C8484C">
            <w:pPr>
              <w:rPr>
                <w:rFonts w:ascii="Arial" w:hAnsi="Arial" w:cs="Arial"/>
                <w:b/>
                <w:bCs/>
                <w:color w:val="000000"/>
                <w:sz w:val="20"/>
                <w:szCs w:val="20"/>
                <w:lang w:eastAsia="en-GB"/>
              </w:rPr>
            </w:pPr>
            <w:r w:rsidRPr="00F33FB3">
              <w:rPr>
                <w:rFonts w:ascii="Arial" w:hAnsi="Arial" w:cs="Arial"/>
                <w:b/>
                <w:bCs/>
                <w:color w:val="000000"/>
                <w:sz w:val="20"/>
                <w:szCs w:val="20"/>
                <w:lang w:eastAsia="en-GB"/>
              </w:rPr>
              <w:t>2.396</w:t>
            </w:r>
          </w:p>
        </w:tc>
        <w:tc>
          <w:tcPr>
            <w:tcW w:w="729" w:type="dxa"/>
            <w:tcBorders>
              <w:top w:val="single" w:sz="8" w:space="0" w:color="auto"/>
              <w:bottom w:val="single" w:sz="4" w:space="0" w:color="auto"/>
            </w:tcBorders>
            <w:noWrap/>
            <w:vAlign w:val="center"/>
            <w:hideMark/>
          </w:tcPr>
          <w:p w:rsidR="00F33FB3" w:rsidRPr="00F33FB3" w:rsidRDefault="00F33FB3" w:rsidP="00C8484C">
            <w:pPr>
              <w:rPr>
                <w:rFonts w:ascii="Arial" w:hAnsi="Arial" w:cs="Arial"/>
                <w:b/>
                <w:color w:val="000000"/>
                <w:sz w:val="20"/>
                <w:szCs w:val="20"/>
                <w:lang w:eastAsia="en-GB"/>
              </w:rPr>
            </w:pPr>
            <w:r w:rsidRPr="00F33FB3">
              <w:rPr>
                <w:rFonts w:ascii="Arial" w:hAnsi="Arial" w:cs="Arial"/>
                <w:b/>
                <w:color w:val="000000"/>
                <w:sz w:val="20"/>
                <w:szCs w:val="20"/>
                <w:lang w:eastAsia="en-GB"/>
              </w:rPr>
              <w:t>8.31</w:t>
            </w:r>
          </w:p>
        </w:tc>
        <w:tc>
          <w:tcPr>
            <w:tcW w:w="587" w:type="dxa"/>
            <w:tcBorders>
              <w:top w:val="single" w:sz="8" w:space="0" w:color="auto"/>
              <w:bottom w:val="single" w:sz="4" w:space="0" w:color="auto"/>
            </w:tcBorders>
            <w:vAlign w:val="center"/>
            <w:hideMark/>
          </w:tcPr>
          <w:p w:rsidR="00F33FB3" w:rsidRPr="00F33FB3" w:rsidRDefault="00F33FB3" w:rsidP="00C8484C">
            <w:pPr>
              <w:rPr>
                <w:rFonts w:ascii="Arial" w:hAnsi="Arial" w:cs="Arial"/>
                <w:b/>
                <w:color w:val="000000"/>
                <w:sz w:val="20"/>
                <w:szCs w:val="20"/>
                <w:lang w:eastAsia="en-GB"/>
              </w:rPr>
            </w:pPr>
            <w:r w:rsidRPr="00F33FB3">
              <w:rPr>
                <w:rFonts w:ascii="Arial" w:hAnsi="Arial" w:cs="Arial"/>
                <w:b/>
                <w:color w:val="000000"/>
                <w:sz w:val="20"/>
                <w:szCs w:val="20"/>
                <w:lang w:eastAsia="en-GB"/>
              </w:rPr>
              <w:t>0.00</w:t>
            </w:r>
          </w:p>
        </w:tc>
        <w:tc>
          <w:tcPr>
            <w:tcW w:w="727" w:type="dxa"/>
            <w:tcBorders>
              <w:top w:val="single" w:sz="8" w:space="0" w:color="auto"/>
              <w:bottom w:val="single" w:sz="4" w:space="0" w:color="auto"/>
            </w:tcBorders>
            <w:noWrap/>
            <w:vAlign w:val="center"/>
            <w:hideMark/>
          </w:tcPr>
          <w:p w:rsidR="00F33FB3" w:rsidRPr="00F33FB3" w:rsidRDefault="00F33FB3" w:rsidP="00C8484C">
            <w:pPr>
              <w:rPr>
                <w:rFonts w:ascii="Arial" w:hAnsi="Arial" w:cs="Arial"/>
                <w:b/>
                <w:color w:val="000000"/>
                <w:sz w:val="20"/>
                <w:szCs w:val="20"/>
                <w:lang w:eastAsia="en-GB"/>
              </w:rPr>
            </w:pPr>
            <w:r w:rsidRPr="00F33FB3">
              <w:rPr>
                <w:rFonts w:ascii="Arial" w:hAnsi="Arial" w:cs="Arial"/>
                <w:b/>
                <w:color w:val="000000"/>
                <w:sz w:val="20"/>
                <w:szCs w:val="20"/>
                <w:lang w:eastAsia="en-GB"/>
              </w:rPr>
              <w:t>8.59</w:t>
            </w:r>
          </w:p>
        </w:tc>
        <w:tc>
          <w:tcPr>
            <w:tcW w:w="1227" w:type="dxa"/>
            <w:tcBorders>
              <w:top w:val="single" w:sz="8" w:space="0" w:color="auto"/>
              <w:bottom w:val="single" w:sz="4" w:space="0" w:color="auto"/>
            </w:tcBorders>
            <w:noWrap/>
            <w:vAlign w:val="center"/>
            <w:hideMark/>
          </w:tcPr>
          <w:p w:rsidR="00F33FB3" w:rsidRPr="00F33FB3" w:rsidRDefault="00F33FB3" w:rsidP="00C8484C">
            <w:pPr>
              <w:rPr>
                <w:rFonts w:ascii="Arial" w:hAnsi="Arial" w:cs="Arial"/>
                <w:bCs/>
                <w:color w:val="000000"/>
                <w:sz w:val="20"/>
                <w:szCs w:val="20"/>
                <w:lang w:eastAsia="en-GB"/>
              </w:rPr>
            </w:pPr>
            <w:r w:rsidRPr="00F33FB3">
              <w:rPr>
                <w:rFonts w:ascii="Arial" w:hAnsi="Arial" w:cs="Arial"/>
                <w:bCs/>
                <w:color w:val="000000"/>
                <w:sz w:val="20"/>
                <w:szCs w:val="20"/>
                <w:lang w:eastAsia="en-GB"/>
              </w:rPr>
              <w:t>3.912</w:t>
            </w:r>
          </w:p>
        </w:tc>
        <w:tc>
          <w:tcPr>
            <w:tcW w:w="1149" w:type="dxa"/>
            <w:tcBorders>
              <w:top w:val="single" w:sz="8" w:space="0" w:color="auto"/>
              <w:bottom w:val="single" w:sz="4" w:space="0" w:color="auto"/>
            </w:tcBorders>
            <w:noWrap/>
            <w:vAlign w:val="center"/>
            <w:hideMark/>
          </w:tcPr>
          <w:p w:rsidR="00F33FB3" w:rsidRPr="00F33FB3" w:rsidRDefault="00F33FB3" w:rsidP="00C8484C">
            <w:pPr>
              <w:rPr>
                <w:rFonts w:ascii="Arial" w:hAnsi="Arial" w:cs="Arial"/>
                <w:color w:val="000000"/>
                <w:sz w:val="20"/>
                <w:szCs w:val="20"/>
                <w:lang w:eastAsia="en-GB"/>
              </w:rPr>
            </w:pPr>
            <w:r w:rsidRPr="00F33FB3">
              <w:rPr>
                <w:rFonts w:ascii="Arial" w:hAnsi="Arial" w:cs="Arial"/>
                <w:color w:val="000000"/>
                <w:sz w:val="20"/>
                <w:szCs w:val="20"/>
                <w:lang w:eastAsia="en-GB"/>
              </w:rPr>
              <w:t>0.0151</w:t>
            </w:r>
          </w:p>
        </w:tc>
        <w:tc>
          <w:tcPr>
            <w:tcW w:w="990" w:type="dxa"/>
            <w:tcBorders>
              <w:top w:val="single" w:sz="8" w:space="0" w:color="auto"/>
              <w:bottom w:val="single" w:sz="4" w:space="0" w:color="auto"/>
            </w:tcBorders>
            <w:noWrap/>
            <w:vAlign w:val="center"/>
            <w:hideMark/>
          </w:tcPr>
          <w:p w:rsidR="00F33FB3" w:rsidRPr="00F33FB3" w:rsidRDefault="00F33FB3" w:rsidP="00C8484C">
            <w:pPr>
              <w:rPr>
                <w:rFonts w:ascii="Arial" w:hAnsi="Arial" w:cs="Arial"/>
                <w:bCs/>
                <w:color w:val="000000"/>
                <w:sz w:val="20"/>
                <w:szCs w:val="20"/>
                <w:lang w:eastAsia="en-GB"/>
              </w:rPr>
            </w:pPr>
            <w:r w:rsidRPr="00F33FB3">
              <w:rPr>
                <w:rFonts w:ascii="Arial" w:hAnsi="Arial" w:cs="Arial"/>
                <w:bCs/>
                <w:color w:val="000000"/>
                <w:sz w:val="20"/>
                <w:szCs w:val="20"/>
                <w:lang w:eastAsia="en-GB"/>
              </w:rPr>
              <w:t>8,919.84</w:t>
            </w:r>
          </w:p>
        </w:tc>
        <w:tc>
          <w:tcPr>
            <w:tcW w:w="1107" w:type="dxa"/>
            <w:tcBorders>
              <w:top w:val="single" w:sz="8" w:space="0" w:color="auto"/>
              <w:bottom w:val="single" w:sz="4" w:space="0" w:color="auto"/>
            </w:tcBorders>
            <w:noWrap/>
            <w:vAlign w:val="center"/>
          </w:tcPr>
          <w:p w:rsidR="00F33FB3" w:rsidRPr="00F33FB3" w:rsidRDefault="00F33FB3" w:rsidP="00C8484C">
            <w:pPr>
              <w:rPr>
                <w:rFonts w:ascii="Arial" w:hAnsi="Arial" w:cs="Arial"/>
                <w:bCs/>
                <w:color w:val="000000"/>
                <w:sz w:val="20"/>
                <w:szCs w:val="20"/>
                <w:lang w:eastAsia="en-GB"/>
              </w:rPr>
            </w:pPr>
            <w:r w:rsidRPr="00F33FB3">
              <w:rPr>
                <w:rFonts w:ascii="Arial" w:hAnsi="Arial" w:cs="Arial"/>
                <w:bCs/>
                <w:color w:val="000000"/>
                <w:sz w:val="20"/>
                <w:szCs w:val="20"/>
                <w:lang w:eastAsia="en-GB"/>
              </w:rPr>
              <w:t>1.65</w:t>
            </w:r>
          </w:p>
        </w:tc>
        <w:tc>
          <w:tcPr>
            <w:tcW w:w="1260" w:type="dxa"/>
            <w:tcBorders>
              <w:top w:val="single" w:sz="8" w:space="0" w:color="auto"/>
              <w:bottom w:val="single" w:sz="4" w:space="0" w:color="auto"/>
              <w:right w:val="single" w:sz="8" w:space="0" w:color="auto"/>
            </w:tcBorders>
            <w:noWrap/>
            <w:vAlign w:val="center"/>
            <w:hideMark/>
          </w:tcPr>
          <w:p w:rsidR="00F33FB3" w:rsidRPr="00F33FB3" w:rsidRDefault="00F33FB3" w:rsidP="00C8484C">
            <w:pPr>
              <w:rPr>
                <w:rFonts w:ascii="Arial" w:hAnsi="Arial" w:cs="Arial"/>
                <w:bCs/>
                <w:color w:val="000000"/>
                <w:sz w:val="20"/>
                <w:szCs w:val="20"/>
                <w:lang w:eastAsia="en-GB"/>
              </w:rPr>
            </w:pPr>
            <w:r w:rsidRPr="00F33FB3">
              <w:rPr>
                <w:rFonts w:ascii="Arial" w:hAnsi="Arial" w:cs="Arial"/>
                <w:bCs/>
                <w:color w:val="000000"/>
                <w:sz w:val="20"/>
                <w:szCs w:val="20"/>
                <w:lang w:eastAsia="en-GB"/>
              </w:rPr>
              <w:t>1,426.47</w:t>
            </w:r>
          </w:p>
        </w:tc>
      </w:tr>
      <w:tr w:rsidR="00F33FB3" w:rsidRPr="00F33FB3" w:rsidTr="00C8484C">
        <w:trPr>
          <w:trHeight w:val="70"/>
          <w:jc w:val="center"/>
        </w:trPr>
        <w:tc>
          <w:tcPr>
            <w:tcW w:w="1237" w:type="dxa"/>
            <w:tcBorders>
              <w:top w:val="single" w:sz="4" w:space="0" w:color="auto"/>
              <w:left w:val="single" w:sz="8" w:space="0" w:color="auto"/>
              <w:bottom w:val="single" w:sz="4" w:space="0" w:color="auto"/>
            </w:tcBorders>
            <w:noWrap/>
            <w:vAlign w:val="bottom"/>
            <w:hideMark/>
          </w:tcPr>
          <w:p w:rsidR="00F33FB3" w:rsidRPr="00F33FB3" w:rsidRDefault="00F33FB3" w:rsidP="00C8484C">
            <w:pPr>
              <w:rPr>
                <w:rFonts w:ascii="Arial" w:hAnsi="Arial" w:cs="Arial"/>
                <w:color w:val="000000"/>
                <w:sz w:val="20"/>
                <w:szCs w:val="20"/>
                <w:lang w:eastAsia="en-GB"/>
              </w:rPr>
            </w:pPr>
            <w:r w:rsidRPr="00F33FB3">
              <w:rPr>
                <w:rFonts w:ascii="Arial" w:hAnsi="Arial" w:cs="Arial"/>
                <w:color w:val="000000"/>
                <w:sz w:val="20"/>
                <w:szCs w:val="20"/>
                <w:lang w:eastAsia="en-GB"/>
              </w:rPr>
              <w:t>Cote d'Ivoire-Mali</w:t>
            </w:r>
          </w:p>
        </w:tc>
        <w:tc>
          <w:tcPr>
            <w:tcW w:w="957"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color w:val="000000"/>
                <w:sz w:val="20"/>
                <w:szCs w:val="20"/>
                <w:lang w:eastAsia="en-GB"/>
              </w:rPr>
            </w:pPr>
            <w:r w:rsidRPr="00F33FB3">
              <w:rPr>
                <w:rFonts w:ascii="Arial" w:hAnsi="Arial" w:cs="Arial"/>
                <w:color w:val="000000"/>
                <w:sz w:val="20"/>
                <w:szCs w:val="20"/>
                <w:lang w:eastAsia="en-GB"/>
              </w:rPr>
              <w:t>82</w:t>
            </w:r>
          </w:p>
        </w:tc>
        <w:tc>
          <w:tcPr>
            <w:tcW w:w="1117"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b/>
                <w:bCs/>
                <w:color w:val="000000"/>
                <w:sz w:val="20"/>
                <w:szCs w:val="20"/>
                <w:lang w:eastAsia="en-GB"/>
              </w:rPr>
            </w:pPr>
            <w:r w:rsidRPr="00F33FB3">
              <w:rPr>
                <w:rFonts w:ascii="Arial" w:hAnsi="Arial" w:cs="Arial"/>
                <w:b/>
                <w:bCs/>
                <w:color w:val="000000"/>
                <w:sz w:val="20"/>
                <w:szCs w:val="20"/>
                <w:lang w:eastAsia="en-GB"/>
              </w:rPr>
              <w:t>2.136</w:t>
            </w:r>
          </w:p>
        </w:tc>
        <w:tc>
          <w:tcPr>
            <w:tcW w:w="729"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b/>
                <w:color w:val="000000"/>
                <w:sz w:val="20"/>
                <w:szCs w:val="20"/>
                <w:lang w:eastAsia="en-GB"/>
              </w:rPr>
            </w:pPr>
            <w:r w:rsidRPr="00F33FB3">
              <w:rPr>
                <w:rFonts w:ascii="Arial" w:hAnsi="Arial" w:cs="Arial"/>
                <w:b/>
                <w:color w:val="000000"/>
                <w:sz w:val="20"/>
                <w:szCs w:val="20"/>
                <w:lang w:eastAsia="en-GB"/>
              </w:rPr>
              <w:t>6.92</w:t>
            </w:r>
          </w:p>
        </w:tc>
        <w:tc>
          <w:tcPr>
            <w:tcW w:w="587" w:type="dxa"/>
            <w:tcBorders>
              <w:top w:val="single" w:sz="4" w:space="0" w:color="auto"/>
              <w:bottom w:val="single" w:sz="4" w:space="0" w:color="auto"/>
            </w:tcBorders>
            <w:vAlign w:val="center"/>
            <w:hideMark/>
          </w:tcPr>
          <w:p w:rsidR="00F33FB3" w:rsidRPr="00F33FB3" w:rsidRDefault="00F33FB3" w:rsidP="00C8484C">
            <w:pPr>
              <w:rPr>
                <w:rFonts w:ascii="Arial" w:hAnsi="Arial" w:cs="Arial"/>
                <w:b/>
                <w:color w:val="000000"/>
                <w:sz w:val="20"/>
                <w:szCs w:val="20"/>
                <w:lang w:eastAsia="en-GB"/>
              </w:rPr>
            </w:pPr>
            <w:r w:rsidRPr="00F33FB3">
              <w:rPr>
                <w:rFonts w:ascii="Arial" w:hAnsi="Arial" w:cs="Arial"/>
                <w:b/>
                <w:color w:val="000000"/>
                <w:sz w:val="20"/>
                <w:szCs w:val="20"/>
                <w:lang w:eastAsia="en-GB"/>
              </w:rPr>
              <w:t>0.00</w:t>
            </w:r>
          </w:p>
        </w:tc>
        <w:tc>
          <w:tcPr>
            <w:tcW w:w="727"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b/>
                <w:color w:val="000000"/>
                <w:sz w:val="20"/>
                <w:szCs w:val="20"/>
                <w:lang w:eastAsia="en-GB"/>
              </w:rPr>
            </w:pPr>
            <w:r w:rsidRPr="00F33FB3">
              <w:rPr>
                <w:rFonts w:ascii="Arial" w:hAnsi="Arial" w:cs="Arial"/>
                <w:b/>
                <w:color w:val="000000"/>
                <w:sz w:val="20"/>
                <w:szCs w:val="20"/>
                <w:lang w:eastAsia="en-GB"/>
              </w:rPr>
              <w:t>8.55</w:t>
            </w:r>
          </w:p>
        </w:tc>
        <w:tc>
          <w:tcPr>
            <w:tcW w:w="1227"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bCs/>
                <w:color w:val="000000"/>
                <w:sz w:val="20"/>
                <w:szCs w:val="20"/>
                <w:lang w:eastAsia="en-GB"/>
              </w:rPr>
            </w:pPr>
            <w:r w:rsidRPr="00F33FB3">
              <w:rPr>
                <w:rFonts w:ascii="Arial" w:hAnsi="Arial" w:cs="Arial"/>
                <w:bCs/>
                <w:color w:val="000000"/>
                <w:sz w:val="20"/>
                <w:szCs w:val="20"/>
                <w:lang w:eastAsia="en-GB"/>
              </w:rPr>
              <w:t>4.166</w:t>
            </w:r>
          </w:p>
        </w:tc>
        <w:tc>
          <w:tcPr>
            <w:tcW w:w="1149"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color w:val="000000"/>
                <w:sz w:val="20"/>
                <w:szCs w:val="20"/>
                <w:lang w:eastAsia="en-GB"/>
              </w:rPr>
            </w:pPr>
            <w:r w:rsidRPr="00F33FB3">
              <w:rPr>
                <w:rFonts w:ascii="Arial" w:hAnsi="Arial" w:cs="Arial"/>
                <w:color w:val="000000"/>
                <w:sz w:val="20"/>
                <w:szCs w:val="20"/>
                <w:lang w:eastAsia="en-GB"/>
              </w:rPr>
              <w:t>0.0159</w:t>
            </w:r>
          </w:p>
        </w:tc>
        <w:tc>
          <w:tcPr>
            <w:tcW w:w="990"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bCs/>
                <w:color w:val="000000"/>
                <w:sz w:val="20"/>
                <w:szCs w:val="20"/>
                <w:lang w:eastAsia="en-GB"/>
              </w:rPr>
            </w:pPr>
            <w:r w:rsidRPr="00F33FB3">
              <w:rPr>
                <w:rFonts w:ascii="Arial" w:hAnsi="Arial" w:cs="Arial"/>
                <w:bCs/>
                <w:color w:val="000000"/>
                <w:sz w:val="20"/>
                <w:szCs w:val="20"/>
                <w:lang w:eastAsia="en-GB"/>
              </w:rPr>
              <w:t>9,498.33</w:t>
            </w:r>
          </w:p>
        </w:tc>
        <w:tc>
          <w:tcPr>
            <w:tcW w:w="1107" w:type="dxa"/>
            <w:tcBorders>
              <w:top w:val="single" w:sz="4" w:space="0" w:color="auto"/>
              <w:bottom w:val="single" w:sz="4" w:space="0" w:color="auto"/>
            </w:tcBorders>
            <w:noWrap/>
            <w:vAlign w:val="center"/>
          </w:tcPr>
          <w:p w:rsidR="00F33FB3" w:rsidRPr="00F33FB3" w:rsidRDefault="00F33FB3" w:rsidP="00C8484C">
            <w:pPr>
              <w:rPr>
                <w:rFonts w:ascii="Arial" w:hAnsi="Arial" w:cs="Arial"/>
                <w:bCs/>
                <w:color w:val="000000"/>
                <w:sz w:val="20"/>
                <w:szCs w:val="20"/>
                <w:lang w:eastAsia="en-GB"/>
              </w:rPr>
            </w:pPr>
            <w:r w:rsidRPr="00F33FB3">
              <w:rPr>
                <w:rFonts w:ascii="Arial" w:hAnsi="Arial" w:cs="Arial"/>
                <w:bCs/>
                <w:color w:val="000000"/>
                <w:sz w:val="20"/>
                <w:szCs w:val="20"/>
                <w:lang w:eastAsia="en-GB"/>
              </w:rPr>
              <w:t>-11.25</w:t>
            </w:r>
          </w:p>
        </w:tc>
        <w:tc>
          <w:tcPr>
            <w:tcW w:w="1260" w:type="dxa"/>
            <w:tcBorders>
              <w:top w:val="single" w:sz="4" w:space="0" w:color="auto"/>
              <w:bottom w:val="single" w:sz="4" w:space="0" w:color="auto"/>
              <w:right w:val="single" w:sz="8" w:space="0" w:color="auto"/>
            </w:tcBorders>
            <w:noWrap/>
            <w:vAlign w:val="center"/>
            <w:hideMark/>
          </w:tcPr>
          <w:p w:rsidR="00F33FB3" w:rsidRPr="00F33FB3" w:rsidRDefault="00F33FB3" w:rsidP="00C8484C">
            <w:pPr>
              <w:rPr>
                <w:rFonts w:ascii="Arial" w:hAnsi="Arial" w:cs="Arial"/>
                <w:bCs/>
                <w:color w:val="000000"/>
                <w:sz w:val="20"/>
                <w:szCs w:val="20"/>
                <w:lang w:eastAsia="en-GB"/>
              </w:rPr>
            </w:pPr>
            <w:r w:rsidRPr="00F33FB3">
              <w:rPr>
                <w:rFonts w:ascii="Arial" w:hAnsi="Arial" w:cs="Arial"/>
                <w:bCs/>
                <w:color w:val="000000"/>
                <w:sz w:val="20"/>
                <w:szCs w:val="20"/>
                <w:lang w:eastAsia="en-GB"/>
              </w:rPr>
              <w:t>-10,158.65</w:t>
            </w:r>
          </w:p>
        </w:tc>
      </w:tr>
      <w:tr w:rsidR="00F33FB3" w:rsidRPr="00F33FB3" w:rsidTr="00C8484C">
        <w:trPr>
          <w:trHeight w:val="25"/>
          <w:jc w:val="center"/>
        </w:trPr>
        <w:tc>
          <w:tcPr>
            <w:tcW w:w="1237" w:type="dxa"/>
            <w:tcBorders>
              <w:top w:val="single" w:sz="4" w:space="0" w:color="auto"/>
              <w:left w:val="single" w:sz="8" w:space="0" w:color="auto"/>
              <w:bottom w:val="single" w:sz="4" w:space="0" w:color="auto"/>
            </w:tcBorders>
            <w:noWrap/>
            <w:vAlign w:val="bottom"/>
            <w:hideMark/>
          </w:tcPr>
          <w:p w:rsidR="00F33FB3" w:rsidRPr="00F33FB3" w:rsidRDefault="00F33FB3" w:rsidP="00C8484C">
            <w:pPr>
              <w:rPr>
                <w:rFonts w:ascii="Arial" w:hAnsi="Arial" w:cs="Arial"/>
                <w:color w:val="000000"/>
                <w:sz w:val="20"/>
                <w:szCs w:val="20"/>
                <w:lang w:eastAsia="en-GB"/>
              </w:rPr>
            </w:pPr>
            <w:r w:rsidRPr="00F33FB3">
              <w:rPr>
                <w:rFonts w:ascii="Arial" w:hAnsi="Arial" w:cs="Arial"/>
                <w:color w:val="000000"/>
                <w:sz w:val="20"/>
                <w:szCs w:val="20"/>
                <w:lang w:eastAsia="en-GB"/>
              </w:rPr>
              <w:t>Nigeria-CEB (Benin)</w:t>
            </w:r>
          </w:p>
        </w:tc>
        <w:tc>
          <w:tcPr>
            <w:tcW w:w="957"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color w:val="000000"/>
                <w:sz w:val="20"/>
                <w:szCs w:val="20"/>
                <w:lang w:eastAsia="en-GB"/>
              </w:rPr>
            </w:pPr>
            <w:r w:rsidRPr="00F33FB3">
              <w:rPr>
                <w:rFonts w:ascii="Arial" w:hAnsi="Arial" w:cs="Arial"/>
                <w:color w:val="000000"/>
                <w:sz w:val="20"/>
                <w:szCs w:val="20"/>
                <w:lang w:eastAsia="en-GB"/>
              </w:rPr>
              <w:t>121</w:t>
            </w:r>
          </w:p>
        </w:tc>
        <w:tc>
          <w:tcPr>
            <w:tcW w:w="1117"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b/>
                <w:bCs/>
                <w:color w:val="000000"/>
                <w:sz w:val="20"/>
                <w:szCs w:val="20"/>
                <w:lang w:eastAsia="en-GB"/>
              </w:rPr>
            </w:pPr>
            <w:r w:rsidRPr="00F33FB3">
              <w:rPr>
                <w:rFonts w:ascii="Arial" w:hAnsi="Arial" w:cs="Arial"/>
                <w:b/>
                <w:bCs/>
                <w:color w:val="000000"/>
                <w:sz w:val="20"/>
                <w:szCs w:val="20"/>
                <w:lang w:eastAsia="en-GB"/>
              </w:rPr>
              <w:t>0.551</w:t>
            </w:r>
          </w:p>
        </w:tc>
        <w:tc>
          <w:tcPr>
            <w:tcW w:w="729"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b/>
                <w:color w:val="000000"/>
                <w:sz w:val="20"/>
                <w:szCs w:val="20"/>
                <w:lang w:eastAsia="en-GB"/>
              </w:rPr>
            </w:pPr>
            <w:r w:rsidRPr="00F33FB3">
              <w:rPr>
                <w:rFonts w:ascii="Arial" w:hAnsi="Arial" w:cs="Arial"/>
                <w:b/>
                <w:color w:val="000000"/>
                <w:sz w:val="20"/>
                <w:szCs w:val="20"/>
                <w:lang w:eastAsia="en-GB"/>
              </w:rPr>
              <w:t>8.22</w:t>
            </w:r>
          </w:p>
        </w:tc>
        <w:tc>
          <w:tcPr>
            <w:tcW w:w="587" w:type="dxa"/>
            <w:tcBorders>
              <w:top w:val="single" w:sz="4" w:space="0" w:color="auto"/>
              <w:bottom w:val="single" w:sz="4" w:space="0" w:color="auto"/>
            </w:tcBorders>
            <w:vAlign w:val="center"/>
            <w:hideMark/>
          </w:tcPr>
          <w:p w:rsidR="00F33FB3" w:rsidRPr="00F33FB3" w:rsidRDefault="00F33FB3" w:rsidP="00C8484C">
            <w:pPr>
              <w:rPr>
                <w:rFonts w:ascii="Arial" w:hAnsi="Arial" w:cs="Arial"/>
                <w:b/>
                <w:color w:val="000000"/>
                <w:sz w:val="20"/>
                <w:szCs w:val="20"/>
                <w:lang w:eastAsia="en-GB"/>
              </w:rPr>
            </w:pPr>
            <w:r w:rsidRPr="00F33FB3">
              <w:rPr>
                <w:rFonts w:ascii="Arial" w:hAnsi="Arial" w:cs="Arial"/>
                <w:b/>
                <w:color w:val="000000"/>
                <w:sz w:val="20"/>
                <w:szCs w:val="20"/>
                <w:lang w:eastAsia="en-GB"/>
              </w:rPr>
              <w:t>0.00</w:t>
            </w:r>
          </w:p>
        </w:tc>
        <w:tc>
          <w:tcPr>
            <w:tcW w:w="727"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b/>
                <w:color w:val="000000"/>
                <w:sz w:val="20"/>
                <w:szCs w:val="20"/>
                <w:lang w:eastAsia="en-GB"/>
              </w:rPr>
            </w:pPr>
            <w:r w:rsidRPr="00F33FB3">
              <w:rPr>
                <w:rFonts w:ascii="Arial" w:hAnsi="Arial" w:cs="Arial"/>
                <w:b/>
                <w:color w:val="000000"/>
                <w:sz w:val="20"/>
                <w:szCs w:val="20"/>
                <w:lang w:eastAsia="en-GB"/>
              </w:rPr>
              <w:t>8.59</w:t>
            </w:r>
          </w:p>
        </w:tc>
        <w:tc>
          <w:tcPr>
            <w:tcW w:w="1227"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bCs/>
                <w:color w:val="000000"/>
                <w:sz w:val="20"/>
                <w:szCs w:val="20"/>
                <w:lang w:eastAsia="en-GB"/>
              </w:rPr>
            </w:pPr>
            <w:r w:rsidRPr="00F33FB3">
              <w:rPr>
                <w:rFonts w:ascii="Arial" w:hAnsi="Arial" w:cs="Arial"/>
                <w:bCs/>
                <w:color w:val="000000"/>
                <w:sz w:val="20"/>
                <w:szCs w:val="20"/>
                <w:lang w:eastAsia="en-GB"/>
              </w:rPr>
              <w:t>1.884</w:t>
            </w:r>
          </w:p>
        </w:tc>
        <w:tc>
          <w:tcPr>
            <w:tcW w:w="1149"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color w:val="000000"/>
                <w:sz w:val="20"/>
                <w:szCs w:val="20"/>
                <w:lang w:eastAsia="en-GB"/>
              </w:rPr>
            </w:pPr>
            <w:r w:rsidRPr="00F33FB3">
              <w:rPr>
                <w:rFonts w:ascii="Arial" w:hAnsi="Arial" w:cs="Arial"/>
                <w:color w:val="000000"/>
                <w:sz w:val="20"/>
                <w:szCs w:val="20"/>
                <w:lang w:eastAsia="en-GB"/>
              </w:rPr>
              <w:t>0.0023</w:t>
            </w:r>
          </w:p>
        </w:tc>
        <w:tc>
          <w:tcPr>
            <w:tcW w:w="990" w:type="dxa"/>
            <w:tcBorders>
              <w:top w:val="single" w:sz="4" w:space="0" w:color="auto"/>
              <w:bottom w:val="single" w:sz="4" w:space="0" w:color="auto"/>
            </w:tcBorders>
            <w:noWrap/>
            <w:vAlign w:val="center"/>
            <w:hideMark/>
          </w:tcPr>
          <w:p w:rsidR="00F33FB3" w:rsidRPr="00F33FB3" w:rsidRDefault="00F33FB3" w:rsidP="00C8484C">
            <w:pPr>
              <w:rPr>
                <w:rFonts w:ascii="Arial" w:hAnsi="Arial" w:cs="Arial"/>
                <w:bCs/>
                <w:color w:val="000000"/>
                <w:sz w:val="20"/>
                <w:szCs w:val="20"/>
                <w:lang w:eastAsia="en-GB"/>
              </w:rPr>
            </w:pPr>
            <w:r w:rsidRPr="00F33FB3">
              <w:rPr>
                <w:rFonts w:ascii="Arial" w:hAnsi="Arial" w:cs="Arial"/>
                <w:bCs/>
                <w:color w:val="000000"/>
                <w:sz w:val="20"/>
                <w:szCs w:val="20"/>
                <w:lang w:eastAsia="en-GB"/>
              </w:rPr>
              <w:t>3,970.53</w:t>
            </w:r>
          </w:p>
        </w:tc>
        <w:tc>
          <w:tcPr>
            <w:tcW w:w="1107" w:type="dxa"/>
            <w:tcBorders>
              <w:top w:val="single" w:sz="4" w:space="0" w:color="auto"/>
              <w:bottom w:val="single" w:sz="4" w:space="0" w:color="auto"/>
            </w:tcBorders>
            <w:noWrap/>
            <w:vAlign w:val="center"/>
          </w:tcPr>
          <w:p w:rsidR="00F33FB3" w:rsidRPr="00F33FB3" w:rsidRDefault="00F33FB3" w:rsidP="00C8484C">
            <w:pPr>
              <w:rPr>
                <w:rFonts w:ascii="Arial" w:hAnsi="Arial" w:cs="Arial"/>
                <w:bCs/>
                <w:color w:val="000000"/>
                <w:sz w:val="20"/>
                <w:szCs w:val="20"/>
                <w:lang w:eastAsia="en-GB"/>
              </w:rPr>
            </w:pPr>
            <w:r w:rsidRPr="00F33FB3">
              <w:rPr>
                <w:rFonts w:ascii="Arial" w:hAnsi="Arial" w:cs="Arial"/>
                <w:bCs/>
                <w:color w:val="000000"/>
                <w:sz w:val="20"/>
                <w:szCs w:val="20"/>
                <w:lang w:eastAsia="en-GB"/>
              </w:rPr>
              <w:t>30.08</w:t>
            </w:r>
          </w:p>
        </w:tc>
        <w:tc>
          <w:tcPr>
            <w:tcW w:w="1260" w:type="dxa"/>
            <w:tcBorders>
              <w:top w:val="single" w:sz="4" w:space="0" w:color="auto"/>
              <w:bottom w:val="single" w:sz="4" w:space="0" w:color="auto"/>
              <w:right w:val="single" w:sz="8" w:space="0" w:color="auto"/>
            </w:tcBorders>
            <w:noWrap/>
            <w:vAlign w:val="center"/>
            <w:hideMark/>
          </w:tcPr>
          <w:p w:rsidR="00F33FB3" w:rsidRPr="00F33FB3" w:rsidRDefault="00F33FB3" w:rsidP="00C8484C">
            <w:pPr>
              <w:rPr>
                <w:rFonts w:ascii="Arial" w:hAnsi="Arial" w:cs="Arial"/>
                <w:bCs/>
                <w:color w:val="000000"/>
                <w:sz w:val="20"/>
                <w:szCs w:val="20"/>
                <w:lang w:eastAsia="en-GB"/>
              </w:rPr>
            </w:pPr>
            <w:r w:rsidRPr="00F33FB3">
              <w:rPr>
                <w:rFonts w:ascii="Arial" w:hAnsi="Arial" w:cs="Arial"/>
                <w:bCs/>
                <w:color w:val="000000"/>
                <w:sz w:val="20"/>
                <w:szCs w:val="20"/>
                <w:lang w:eastAsia="en-GB"/>
              </w:rPr>
              <w:t>27,155.84</w:t>
            </w:r>
          </w:p>
        </w:tc>
      </w:tr>
      <w:tr w:rsidR="00F33FB3" w:rsidRPr="00F33FB3" w:rsidTr="00C8484C">
        <w:trPr>
          <w:trHeight w:val="25"/>
          <w:jc w:val="center"/>
        </w:trPr>
        <w:tc>
          <w:tcPr>
            <w:tcW w:w="1237" w:type="dxa"/>
            <w:tcBorders>
              <w:top w:val="single" w:sz="4" w:space="0" w:color="auto"/>
              <w:left w:val="single" w:sz="8" w:space="0" w:color="auto"/>
              <w:bottom w:val="single" w:sz="8" w:space="0" w:color="auto"/>
            </w:tcBorders>
            <w:noWrap/>
            <w:vAlign w:val="bottom"/>
            <w:hideMark/>
          </w:tcPr>
          <w:p w:rsidR="00F33FB3" w:rsidRPr="00F33FB3" w:rsidRDefault="00F33FB3" w:rsidP="00C8484C">
            <w:pPr>
              <w:rPr>
                <w:rFonts w:ascii="Arial" w:hAnsi="Arial" w:cs="Arial"/>
                <w:color w:val="000000"/>
                <w:sz w:val="20"/>
                <w:szCs w:val="20"/>
                <w:lang w:eastAsia="en-GB"/>
              </w:rPr>
            </w:pPr>
            <w:r w:rsidRPr="00F33FB3">
              <w:rPr>
                <w:rFonts w:ascii="Arial" w:hAnsi="Arial" w:cs="Arial"/>
                <w:color w:val="000000"/>
                <w:sz w:val="20"/>
                <w:szCs w:val="20"/>
                <w:lang w:eastAsia="en-GB"/>
              </w:rPr>
              <w:t>Congo Republic – DRC</w:t>
            </w:r>
          </w:p>
        </w:tc>
        <w:tc>
          <w:tcPr>
            <w:tcW w:w="957" w:type="dxa"/>
            <w:tcBorders>
              <w:top w:val="single" w:sz="4" w:space="0" w:color="auto"/>
              <w:bottom w:val="single" w:sz="8" w:space="0" w:color="auto"/>
            </w:tcBorders>
            <w:noWrap/>
            <w:vAlign w:val="center"/>
            <w:hideMark/>
          </w:tcPr>
          <w:p w:rsidR="00F33FB3" w:rsidRPr="00F33FB3" w:rsidRDefault="00F33FB3" w:rsidP="00C8484C">
            <w:pPr>
              <w:jc w:val="center"/>
              <w:rPr>
                <w:rFonts w:ascii="Arial" w:eastAsia="Calibri" w:hAnsi="Arial" w:cs="Arial"/>
                <w:color w:val="000000"/>
                <w:sz w:val="20"/>
                <w:szCs w:val="20"/>
              </w:rPr>
            </w:pPr>
            <w:r w:rsidRPr="00F33FB3">
              <w:rPr>
                <w:rFonts w:ascii="Arial" w:eastAsia="Calibri" w:hAnsi="Arial" w:cs="Arial"/>
                <w:color w:val="000000"/>
                <w:sz w:val="20"/>
                <w:szCs w:val="20"/>
              </w:rPr>
              <w:t>50</w:t>
            </w:r>
          </w:p>
        </w:tc>
        <w:tc>
          <w:tcPr>
            <w:tcW w:w="1117" w:type="dxa"/>
            <w:tcBorders>
              <w:top w:val="single" w:sz="4" w:space="0" w:color="auto"/>
              <w:bottom w:val="single" w:sz="8" w:space="0" w:color="auto"/>
            </w:tcBorders>
            <w:noWrap/>
            <w:vAlign w:val="center"/>
            <w:hideMark/>
          </w:tcPr>
          <w:p w:rsidR="00F33FB3" w:rsidRPr="00F33FB3" w:rsidRDefault="00F33FB3" w:rsidP="00C8484C">
            <w:pPr>
              <w:jc w:val="center"/>
              <w:rPr>
                <w:rFonts w:ascii="Arial" w:hAnsi="Arial" w:cs="Arial"/>
                <w:b/>
                <w:bCs/>
                <w:color w:val="000000"/>
                <w:sz w:val="20"/>
                <w:szCs w:val="20"/>
                <w:lang w:eastAsia="en-GB"/>
              </w:rPr>
            </w:pPr>
            <w:r w:rsidRPr="00F33FB3">
              <w:rPr>
                <w:rFonts w:ascii="Arial" w:hAnsi="Arial" w:cs="Arial"/>
                <w:b/>
                <w:bCs/>
                <w:color w:val="000000"/>
                <w:sz w:val="20"/>
                <w:szCs w:val="20"/>
                <w:lang w:eastAsia="en-GB"/>
              </w:rPr>
              <w:t>1.953</w:t>
            </w:r>
          </w:p>
        </w:tc>
        <w:tc>
          <w:tcPr>
            <w:tcW w:w="729" w:type="dxa"/>
            <w:tcBorders>
              <w:top w:val="single" w:sz="4" w:space="0" w:color="auto"/>
              <w:bottom w:val="single" w:sz="8" w:space="0" w:color="auto"/>
            </w:tcBorders>
            <w:noWrap/>
            <w:vAlign w:val="center"/>
            <w:hideMark/>
          </w:tcPr>
          <w:p w:rsidR="00F33FB3" w:rsidRPr="00F33FB3" w:rsidRDefault="00F33FB3" w:rsidP="00C8484C">
            <w:pPr>
              <w:jc w:val="center"/>
              <w:rPr>
                <w:rFonts w:ascii="Arial" w:hAnsi="Arial" w:cs="Arial"/>
                <w:b/>
                <w:bCs/>
                <w:color w:val="000000"/>
                <w:sz w:val="20"/>
                <w:szCs w:val="20"/>
                <w:lang w:eastAsia="en-GB"/>
              </w:rPr>
            </w:pPr>
            <w:r w:rsidRPr="00F33FB3">
              <w:rPr>
                <w:rFonts w:ascii="Arial" w:hAnsi="Arial" w:cs="Arial"/>
                <w:b/>
                <w:bCs/>
                <w:color w:val="000000"/>
                <w:sz w:val="20"/>
                <w:szCs w:val="20"/>
                <w:lang w:eastAsia="en-GB"/>
              </w:rPr>
              <w:t>7.08</w:t>
            </w:r>
          </w:p>
        </w:tc>
        <w:tc>
          <w:tcPr>
            <w:tcW w:w="587" w:type="dxa"/>
            <w:tcBorders>
              <w:top w:val="single" w:sz="4" w:space="0" w:color="auto"/>
              <w:bottom w:val="single" w:sz="8" w:space="0" w:color="auto"/>
            </w:tcBorders>
            <w:vAlign w:val="center"/>
          </w:tcPr>
          <w:p w:rsidR="00F33FB3" w:rsidRPr="00F33FB3" w:rsidRDefault="00F33FB3" w:rsidP="00C8484C">
            <w:pPr>
              <w:jc w:val="center"/>
              <w:rPr>
                <w:rFonts w:ascii="Arial" w:hAnsi="Arial" w:cs="Arial"/>
                <w:b/>
                <w:color w:val="000000"/>
                <w:sz w:val="20"/>
                <w:szCs w:val="20"/>
                <w:lang w:eastAsia="en-GB"/>
              </w:rPr>
            </w:pPr>
            <w:r w:rsidRPr="00F33FB3">
              <w:rPr>
                <w:rFonts w:ascii="Arial" w:hAnsi="Arial" w:cs="Arial"/>
                <w:b/>
                <w:color w:val="000000"/>
                <w:sz w:val="20"/>
                <w:szCs w:val="20"/>
                <w:lang w:eastAsia="en-GB"/>
              </w:rPr>
              <w:t>0.00</w:t>
            </w:r>
          </w:p>
        </w:tc>
        <w:tc>
          <w:tcPr>
            <w:tcW w:w="727" w:type="dxa"/>
            <w:tcBorders>
              <w:top w:val="single" w:sz="4" w:space="0" w:color="auto"/>
              <w:bottom w:val="single" w:sz="8" w:space="0" w:color="auto"/>
            </w:tcBorders>
            <w:noWrap/>
            <w:vAlign w:val="center"/>
            <w:hideMark/>
          </w:tcPr>
          <w:p w:rsidR="00F33FB3" w:rsidRPr="00F33FB3" w:rsidRDefault="00F33FB3" w:rsidP="00C8484C">
            <w:pPr>
              <w:jc w:val="center"/>
              <w:rPr>
                <w:rFonts w:ascii="Arial" w:hAnsi="Arial" w:cs="Arial"/>
                <w:b/>
                <w:bCs/>
                <w:color w:val="000000"/>
                <w:sz w:val="20"/>
                <w:szCs w:val="20"/>
                <w:lang w:eastAsia="en-GB"/>
              </w:rPr>
            </w:pPr>
            <w:r w:rsidRPr="00F33FB3">
              <w:rPr>
                <w:rFonts w:ascii="Arial" w:hAnsi="Arial" w:cs="Arial"/>
                <w:b/>
                <w:bCs/>
                <w:color w:val="000000"/>
                <w:sz w:val="20"/>
                <w:szCs w:val="20"/>
                <w:lang w:eastAsia="en-GB"/>
              </w:rPr>
              <w:t>8.55%</w:t>
            </w:r>
          </w:p>
        </w:tc>
        <w:tc>
          <w:tcPr>
            <w:tcW w:w="1227" w:type="dxa"/>
            <w:tcBorders>
              <w:top w:val="single" w:sz="4" w:space="0" w:color="auto"/>
              <w:bottom w:val="single" w:sz="8" w:space="0" w:color="auto"/>
            </w:tcBorders>
            <w:noWrap/>
            <w:vAlign w:val="center"/>
            <w:hideMark/>
          </w:tcPr>
          <w:p w:rsidR="00F33FB3" w:rsidRPr="00F33FB3" w:rsidRDefault="00F33FB3" w:rsidP="00C8484C">
            <w:pPr>
              <w:jc w:val="center"/>
              <w:rPr>
                <w:rFonts w:ascii="Arial" w:hAnsi="Arial" w:cs="Arial"/>
                <w:bCs/>
                <w:color w:val="000000"/>
                <w:sz w:val="20"/>
                <w:szCs w:val="20"/>
                <w:lang w:eastAsia="en-GB"/>
              </w:rPr>
            </w:pPr>
            <w:r w:rsidRPr="00F33FB3">
              <w:rPr>
                <w:rFonts w:ascii="Arial" w:hAnsi="Arial" w:cs="Arial"/>
                <w:bCs/>
                <w:color w:val="000000"/>
                <w:sz w:val="20"/>
                <w:szCs w:val="20"/>
                <w:lang w:eastAsia="en-GB"/>
              </w:rPr>
              <w:t>1.213</w:t>
            </w:r>
          </w:p>
        </w:tc>
        <w:tc>
          <w:tcPr>
            <w:tcW w:w="1149" w:type="dxa"/>
            <w:tcBorders>
              <w:top w:val="single" w:sz="4" w:space="0" w:color="auto"/>
              <w:bottom w:val="single" w:sz="8" w:space="0" w:color="auto"/>
            </w:tcBorders>
            <w:noWrap/>
            <w:vAlign w:val="center"/>
            <w:hideMark/>
          </w:tcPr>
          <w:p w:rsidR="00F33FB3" w:rsidRPr="00F33FB3" w:rsidRDefault="00F33FB3" w:rsidP="00C8484C">
            <w:pPr>
              <w:jc w:val="center"/>
              <w:rPr>
                <w:rFonts w:ascii="Arial" w:hAnsi="Arial" w:cs="Arial"/>
                <w:color w:val="000000"/>
                <w:sz w:val="20"/>
                <w:szCs w:val="20"/>
                <w:lang w:eastAsia="en-GB"/>
              </w:rPr>
            </w:pPr>
            <w:r w:rsidRPr="00F33FB3">
              <w:rPr>
                <w:rFonts w:ascii="Arial" w:hAnsi="Arial" w:cs="Arial"/>
                <w:color w:val="000000"/>
                <w:sz w:val="20"/>
                <w:szCs w:val="20"/>
                <w:lang w:eastAsia="en-GB"/>
              </w:rPr>
              <w:t>0.0075</w:t>
            </w:r>
          </w:p>
        </w:tc>
        <w:tc>
          <w:tcPr>
            <w:tcW w:w="990" w:type="dxa"/>
            <w:tcBorders>
              <w:top w:val="single" w:sz="4" w:space="0" w:color="auto"/>
              <w:bottom w:val="single" w:sz="8" w:space="0" w:color="auto"/>
            </w:tcBorders>
            <w:noWrap/>
            <w:vAlign w:val="center"/>
            <w:hideMark/>
          </w:tcPr>
          <w:p w:rsidR="00F33FB3" w:rsidRPr="00F33FB3" w:rsidRDefault="00F33FB3" w:rsidP="00C8484C">
            <w:pPr>
              <w:jc w:val="center"/>
              <w:rPr>
                <w:rFonts w:ascii="Arial" w:hAnsi="Arial" w:cs="Arial"/>
                <w:bCs/>
                <w:color w:val="FF0000"/>
                <w:sz w:val="20"/>
                <w:szCs w:val="20"/>
                <w:lang w:eastAsia="en-GB"/>
              </w:rPr>
            </w:pPr>
            <w:r w:rsidRPr="00F33FB3">
              <w:rPr>
                <w:rFonts w:ascii="Arial" w:hAnsi="Arial" w:cs="Arial"/>
                <w:bCs/>
                <w:color w:val="000000"/>
                <w:sz w:val="20"/>
                <w:szCs w:val="20"/>
                <w:lang w:eastAsia="en-GB"/>
              </w:rPr>
              <w:t>2,765.31</w:t>
            </w:r>
          </w:p>
        </w:tc>
        <w:tc>
          <w:tcPr>
            <w:tcW w:w="1107" w:type="dxa"/>
            <w:tcBorders>
              <w:top w:val="single" w:sz="4" w:space="0" w:color="auto"/>
              <w:bottom w:val="single" w:sz="8" w:space="0" w:color="auto"/>
            </w:tcBorders>
            <w:noWrap/>
            <w:vAlign w:val="center"/>
            <w:hideMark/>
          </w:tcPr>
          <w:p w:rsidR="00F33FB3" w:rsidRPr="00F33FB3" w:rsidRDefault="00F33FB3" w:rsidP="00C8484C">
            <w:pPr>
              <w:jc w:val="center"/>
              <w:rPr>
                <w:rFonts w:ascii="Arial" w:hAnsi="Arial" w:cs="Arial"/>
                <w:color w:val="000000"/>
                <w:sz w:val="20"/>
                <w:szCs w:val="20"/>
                <w:lang w:eastAsia="en-GB"/>
              </w:rPr>
            </w:pPr>
            <w:r w:rsidRPr="00F33FB3">
              <w:rPr>
                <w:rFonts w:ascii="Arial" w:hAnsi="Arial" w:cs="Arial"/>
                <w:color w:val="000000"/>
                <w:sz w:val="20"/>
                <w:szCs w:val="20"/>
                <w:lang w:eastAsia="en-GB"/>
              </w:rPr>
              <w:t>-5.83</w:t>
            </w:r>
          </w:p>
        </w:tc>
        <w:tc>
          <w:tcPr>
            <w:tcW w:w="1260" w:type="dxa"/>
            <w:tcBorders>
              <w:top w:val="single" w:sz="4" w:space="0" w:color="auto"/>
              <w:bottom w:val="single" w:sz="8" w:space="0" w:color="auto"/>
              <w:right w:val="single" w:sz="8" w:space="0" w:color="auto"/>
            </w:tcBorders>
            <w:noWrap/>
            <w:vAlign w:val="center"/>
            <w:hideMark/>
          </w:tcPr>
          <w:p w:rsidR="00F33FB3" w:rsidRPr="00F33FB3" w:rsidRDefault="00F33FB3" w:rsidP="00C8484C">
            <w:pPr>
              <w:jc w:val="center"/>
              <w:rPr>
                <w:rFonts w:ascii="Arial" w:hAnsi="Arial" w:cs="Arial"/>
                <w:bCs/>
                <w:color w:val="000000"/>
                <w:sz w:val="20"/>
                <w:szCs w:val="20"/>
                <w:lang w:eastAsia="en-GB"/>
              </w:rPr>
            </w:pPr>
            <w:r w:rsidRPr="00F33FB3">
              <w:rPr>
                <w:rFonts w:ascii="Arial" w:hAnsi="Arial" w:cs="Arial"/>
                <w:bCs/>
                <w:color w:val="000000"/>
                <w:sz w:val="20"/>
                <w:szCs w:val="20"/>
                <w:lang w:eastAsia="en-GB"/>
              </w:rPr>
              <w:t>-5,053.04</w:t>
            </w:r>
          </w:p>
        </w:tc>
      </w:tr>
    </w:tbl>
    <w:p w:rsidR="00F33FB3" w:rsidRDefault="00F33FB3" w:rsidP="00F33FB3">
      <w:pPr>
        <w:rPr>
          <w:rFonts w:eastAsia="Calibri" w:cs="Arial"/>
          <w:b/>
          <w:color w:val="394A58"/>
          <w:szCs w:val="20"/>
        </w:rPr>
      </w:pPr>
    </w:p>
    <w:p w:rsidR="00F33FB3" w:rsidRDefault="00F33FB3" w:rsidP="00F33FB3">
      <w:pPr>
        <w:rPr>
          <w:rFonts w:eastAsia="Calibri" w:cs="Arial"/>
          <w:b/>
          <w:color w:val="394A58"/>
          <w:szCs w:val="20"/>
        </w:rPr>
      </w:pPr>
    </w:p>
    <w:p w:rsidR="00F33FB3" w:rsidRPr="00F33FB3" w:rsidRDefault="00F33FB3" w:rsidP="00F33FB3">
      <w:pPr>
        <w:numPr>
          <w:ilvl w:val="0"/>
          <w:numId w:val="12"/>
        </w:numPr>
        <w:contextualSpacing/>
        <w:outlineLvl w:val="1"/>
        <w:rPr>
          <w:rFonts w:ascii="Arial" w:eastAsia="Calibri" w:hAnsi="Arial" w:cs="Arial"/>
          <w:b/>
          <w:bCs/>
          <w:iCs/>
          <w:szCs w:val="20"/>
        </w:rPr>
      </w:pPr>
      <w:r w:rsidRPr="00F33FB3">
        <w:rPr>
          <w:rFonts w:ascii="Arial" w:eastAsia="Calibri" w:hAnsi="Arial" w:cs="Arial"/>
          <w:b/>
          <w:bCs/>
          <w:iCs/>
          <w:szCs w:val="20"/>
        </w:rPr>
        <w:t>Results from Tariff Model for NPV &gt; 0</w:t>
      </w:r>
    </w:p>
    <w:p w:rsidR="00F33FB3" w:rsidRPr="00F33FB3" w:rsidRDefault="00F33FB3" w:rsidP="00F33FB3">
      <w:pPr>
        <w:jc w:val="both"/>
        <w:rPr>
          <w:rFonts w:ascii="Arial" w:eastAsia="Calibri" w:hAnsi="Arial" w:cs="Arial"/>
          <w:i/>
          <w:szCs w:val="20"/>
        </w:rPr>
      </w:pPr>
      <w:r w:rsidRPr="00F33FB3">
        <w:rPr>
          <w:rFonts w:ascii="Arial" w:eastAsia="Calibri" w:hAnsi="Arial" w:cs="Arial"/>
          <w:bCs/>
          <w:iCs/>
          <w:szCs w:val="20"/>
        </w:rPr>
        <w:t>The table presents a summary of the results for the selected international transactions for NPV&gt;0</w:t>
      </w:r>
      <w:r w:rsidRPr="00F33FB3">
        <w:rPr>
          <w:rFonts w:ascii="Arial" w:eastAsia="Calibri" w:hAnsi="Arial" w:cs="Arial"/>
          <w:bCs/>
          <w:i/>
          <w:iCs/>
          <w:szCs w:val="20"/>
        </w:rPr>
        <w:t>. At a cost of capital of 10%, the Rate of Return (</w:t>
      </w:r>
      <w:proofErr w:type="spellStart"/>
      <w:r w:rsidRPr="00F33FB3">
        <w:rPr>
          <w:rFonts w:ascii="Arial" w:eastAsia="Calibri" w:hAnsi="Arial" w:cs="Arial"/>
          <w:bCs/>
          <w:i/>
          <w:iCs/>
          <w:szCs w:val="20"/>
        </w:rPr>
        <w:t>RoR</w:t>
      </w:r>
      <w:proofErr w:type="spellEnd"/>
      <w:r w:rsidRPr="00F33FB3">
        <w:rPr>
          <w:rFonts w:ascii="Arial" w:eastAsia="Calibri" w:hAnsi="Arial" w:cs="Arial"/>
          <w:bCs/>
          <w:i/>
          <w:iCs/>
          <w:szCs w:val="20"/>
        </w:rPr>
        <w:t xml:space="preserve">) earned on the regulated asset base (RAB), is equal to the WACC, while the IRR is greater than WACC. This implies that the </w:t>
      </w:r>
      <w:r w:rsidRPr="00F33FB3">
        <w:rPr>
          <w:rFonts w:ascii="Arial" w:eastAsia="Calibri" w:hAnsi="Arial" w:cs="Arial"/>
          <w:i/>
          <w:szCs w:val="20"/>
        </w:rPr>
        <w:t>tariffs indicated in the table will result in a financially viable transaction.</w:t>
      </w:r>
    </w:p>
    <w:p w:rsidR="00F33FB3" w:rsidRPr="00F33FB3" w:rsidRDefault="00F33FB3" w:rsidP="00F33FB3">
      <w:pPr>
        <w:jc w:val="both"/>
        <w:rPr>
          <w:rFonts w:ascii="Arial" w:eastAsia="Calibri" w:hAnsi="Arial" w:cs="Arial"/>
          <w:i/>
          <w:szCs w:val="20"/>
        </w:rPr>
      </w:pPr>
    </w:p>
    <w:p w:rsidR="00F33FB3" w:rsidRPr="00F33FB3" w:rsidRDefault="00F33FB3" w:rsidP="00F33FB3">
      <w:pPr>
        <w:rPr>
          <w:rFonts w:ascii="Arial" w:eastAsia="Calibri" w:hAnsi="Arial" w:cs="Arial"/>
          <w:b/>
          <w:bCs/>
          <w:iCs/>
          <w:szCs w:val="20"/>
        </w:rPr>
      </w:pPr>
      <w:r w:rsidRPr="00F33FB3">
        <w:rPr>
          <w:rFonts w:ascii="Arial" w:eastAsia="Calibri" w:hAnsi="Arial" w:cs="Arial"/>
          <w:b/>
          <w:bCs/>
          <w:iCs/>
          <w:szCs w:val="20"/>
        </w:rPr>
        <w:t>Table 2.</w:t>
      </w:r>
      <w:r w:rsidRPr="00F33FB3">
        <w:rPr>
          <w:rFonts w:ascii="Arial" w:eastAsia="Calibri" w:hAnsi="Arial" w:cs="Arial"/>
          <w:b/>
          <w:bCs/>
          <w:iCs/>
          <w:szCs w:val="20"/>
        </w:rPr>
        <w:tab/>
        <w:t>Results from Tariff Model: NPV &gt; 0; WACC=10%.</w:t>
      </w:r>
    </w:p>
    <w:tbl>
      <w:tblPr>
        <w:tblStyle w:val="TableGrid1"/>
        <w:tblW w:w="11160" w:type="dxa"/>
        <w:tblInd w:w="-725" w:type="dxa"/>
        <w:tblLook w:val="04A0" w:firstRow="1" w:lastRow="0" w:firstColumn="1" w:lastColumn="0" w:noHBand="0" w:noVBand="1"/>
      </w:tblPr>
      <w:tblGrid>
        <w:gridCol w:w="1260"/>
        <w:gridCol w:w="957"/>
        <w:gridCol w:w="1017"/>
        <w:gridCol w:w="1176"/>
        <w:gridCol w:w="810"/>
        <w:gridCol w:w="720"/>
        <w:gridCol w:w="1115"/>
        <w:gridCol w:w="1017"/>
        <w:gridCol w:w="1018"/>
        <w:gridCol w:w="1008"/>
        <w:gridCol w:w="1062"/>
      </w:tblGrid>
      <w:tr w:rsidR="00F33FB3" w:rsidRPr="00F33FB3" w:rsidTr="00C8484C">
        <w:trPr>
          <w:trHeight w:val="748"/>
        </w:trPr>
        <w:tc>
          <w:tcPr>
            <w:tcW w:w="1260" w:type="dxa"/>
            <w:tcBorders>
              <w:top w:val="single" w:sz="4" w:space="0" w:color="000000"/>
              <w:left w:val="single" w:sz="4" w:space="0" w:color="000000"/>
              <w:bottom w:val="single" w:sz="4" w:space="0" w:color="000000"/>
              <w:right w:val="single" w:sz="4" w:space="0" w:color="000000"/>
            </w:tcBorders>
            <w:shd w:val="clear" w:color="auto" w:fill="D2DBE2"/>
            <w:noWrap/>
            <w:hideMark/>
          </w:tcPr>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Transaction</w:t>
            </w:r>
          </w:p>
        </w:tc>
        <w:tc>
          <w:tcPr>
            <w:tcW w:w="957" w:type="dxa"/>
            <w:tcBorders>
              <w:top w:val="single" w:sz="4" w:space="0" w:color="000000"/>
              <w:left w:val="single" w:sz="4" w:space="0" w:color="000000"/>
              <w:bottom w:val="single" w:sz="4" w:space="0" w:color="000000"/>
              <w:right w:val="single" w:sz="4" w:space="0" w:color="000000"/>
            </w:tcBorders>
            <w:shd w:val="clear" w:color="auto" w:fill="D2DBE2"/>
            <w:noWrap/>
            <w:hideMark/>
          </w:tcPr>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Wheeled Power (MW)</w:t>
            </w:r>
          </w:p>
        </w:tc>
        <w:tc>
          <w:tcPr>
            <w:tcW w:w="1017" w:type="dxa"/>
            <w:tcBorders>
              <w:top w:val="single" w:sz="4" w:space="0" w:color="000000"/>
              <w:left w:val="single" w:sz="4" w:space="0" w:color="000000"/>
              <w:bottom w:val="single" w:sz="4" w:space="0" w:color="000000"/>
              <w:right w:val="single" w:sz="4" w:space="0" w:color="000000"/>
            </w:tcBorders>
            <w:shd w:val="clear" w:color="auto" w:fill="D2DBE2"/>
            <w:noWrap/>
          </w:tcPr>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Tariff</w:t>
            </w:r>
          </w:p>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US cents/kWh</w:t>
            </w:r>
          </w:p>
        </w:tc>
        <w:tc>
          <w:tcPr>
            <w:tcW w:w="1176" w:type="dxa"/>
            <w:tcBorders>
              <w:top w:val="single" w:sz="4" w:space="0" w:color="000000"/>
              <w:left w:val="single" w:sz="4" w:space="0" w:color="000000"/>
              <w:bottom w:val="single" w:sz="4" w:space="0" w:color="000000"/>
              <w:right w:val="single" w:sz="4" w:space="0" w:color="000000"/>
            </w:tcBorders>
            <w:shd w:val="clear" w:color="auto" w:fill="D2DBE2"/>
            <w:noWrap/>
            <w:hideMark/>
          </w:tcPr>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NPV</w:t>
            </w:r>
          </w:p>
          <w:p w:rsidR="00F33FB3" w:rsidRPr="00F33FB3" w:rsidRDefault="00F33FB3" w:rsidP="00C8484C">
            <w:pPr>
              <w:rPr>
                <w:rFonts w:ascii="Arial" w:eastAsia="Calibri" w:hAnsi="Arial" w:cs="Arial"/>
                <w:b/>
                <w:bCs/>
                <w:sz w:val="16"/>
                <w:szCs w:val="18"/>
              </w:rPr>
            </w:pPr>
          </w:p>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US$</w:t>
            </w:r>
          </w:p>
        </w:tc>
        <w:tc>
          <w:tcPr>
            <w:tcW w:w="810" w:type="dxa"/>
            <w:tcBorders>
              <w:top w:val="single" w:sz="4" w:space="0" w:color="000000"/>
              <w:left w:val="single" w:sz="4" w:space="0" w:color="000000"/>
              <w:bottom w:val="single" w:sz="4" w:space="0" w:color="000000"/>
              <w:right w:val="single" w:sz="4" w:space="0" w:color="000000"/>
            </w:tcBorders>
            <w:shd w:val="clear" w:color="auto" w:fill="D2DBE2"/>
            <w:noWrap/>
          </w:tcPr>
          <w:p w:rsidR="00F33FB3" w:rsidRPr="00F33FB3" w:rsidRDefault="00F33FB3" w:rsidP="00C8484C">
            <w:pPr>
              <w:rPr>
                <w:rFonts w:ascii="Arial" w:eastAsia="Calibri" w:hAnsi="Arial" w:cs="Arial"/>
                <w:b/>
                <w:bCs/>
                <w:sz w:val="16"/>
                <w:szCs w:val="18"/>
              </w:rPr>
            </w:pPr>
            <w:proofErr w:type="spellStart"/>
            <w:r w:rsidRPr="00F33FB3">
              <w:rPr>
                <w:rFonts w:ascii="Arial" w:eastAsia="Calibri" w:hAnsi="Arial" w:cs="Arial"/>
                <w:b/>
                <w:bCs/>
                <w:sz w:val="16"/>
                <w:szCs w:val="18"/>
              </w:rPr>
              <w:t>RoR</w:t>
            </w:r>
            <w:proofErr w:type="spellEnd"/>
            <w:r w:rsidRPr="00F33FB3">
              <w:rPr>
                <w:rFonts w:ascii="Arial" w:eastAsia="Calibri" w:hAnsi="Arial" w:cs="Arial"/>
                <w:b/>
                <w:bCs/>
                <w:sz w:val="16"/>
                <w:szCs w:val="18"/>
              </w:rPr>
              <w:t>-</w:t>
            </w:r>
          </w:p>
          <w:p w:rsidR="00F33FB3" w:rsidRPr="00F33FB3" w:rsidRDefault="00F33FB3" w:rsidP="00C8484C">
            <w:pPr>
              <w:rPr>
                <w:rFonts w:ascii="Arial" w:eastAsia="Calibri" w:hAnsi="Arial" w:cs="Arial"/>
                <w:b/>
                <w:bCs/>
                <w:sz w:val="16"/>
                <w:szCs w:val="18"/>
              </w:rPr>
            </w:pPr>
          </w:p>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w:t>
            </w:r>
          </w:p>
        </w:tc>
        <w:tc>
          <w:tcPr>
            <w:tcW w:w="720" w:type="dxa"/>
            <w:tcBorders>
              <w:top w:val="single" w:sz="4" w:space="0" w:color="000000"/>
              <w:left w:val="single" w:sz="4" w:space="0" w:color="000000"/>
              <w:bottom w:val="single" w:sz="4" w:space="0" w:color="000000"/>
              <w:right w:val="single" w:sz="4" w:space="0" w:color="000000"/>
            </w:tcBorders>
            <w:shd w:val="clear" w:color="auto" w:fill="D2DBE2"/>
            <w:noWrap/>
          </w:tcPr>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IRR-</w:t>
            </w:r>
          </w:p>
          <w:p w:rsidR="00F33FB3" w:rsidRPr="00F33FB3" w:rsidRDefault="00F33FB3" w:rsidP="00C8484C">
            <w:pPr>
              <w:rPr>
                <w:rFonts w:ascii="Arial" w:eastAsia="Calibri" w:hAnsi="Arial" w:cs="Arial"/>
                <w:b/>
                <w:bCs/>
                <w:sz w:val="16"/>
                <w:szCs w:val="18"/>
              </w:rPr>
            </w:pPr>
          </w:p>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w:t>
            </w:r>
          </w:p>
        </w:tc>
        <w:tc>
          <w:tcPr>
            <w:tcW w:w="1115" w:type="dxa"/>
            <w:tcBorders>
              <w:top w:val="single" w:sz="4" w:space="0" w:color="000000"/>
              <w:left w:val="single" w:sz="4" w:space="0" w:color="000000"/>
              <w:bottom w:val="single" w:sz="4" w:space="0" w:color="000000"/>
              <w:right w:val="single" w:sz="4" w:space="0" w:color="000000"/>
            </w:tcBorders>
            <w:shd w:val="clear" w:color="auto" w:fill="D2DBE2"/>
            <w:noWrap/>
            <w:hideMark/>
          </w:tcPr>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Average Incremental Losses- MW/day</w:t>
            </w:r>
          </w:p>
        </w:tc>
        <w:tc>
          <w:tcPr>
            <w:tcW w:w="1017" w:type="dxa"/>
            <w:tcBorders>
              <w:top w:val="single" w:sz="4" w:space="0" w:color="000000"/>
              <w:left w:val="single" w:sz="4" w:space="0" w:color="000000"/>
              <w:bottom w:val="single" w:sz="4" w:space="0" w:color="000000"/>
              <w:right w:val="single" w:sz="4" w:space="0" w:color="000000"/>
            </w:tcBorders>
            <w:shd w:val="clear" w:color="auto" w:fill="D2DBE2"/>
            <w:noWrap/>
            <w:hideMark/>
          </w:tcPr>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Network Loss- cents/kWh</w:t>
            </w:r>
          </w:p>
        </w:tc>
        <w:tc>
          <w:tcPr>
            <w:tcW w:w="1018" w:type="dxa"/>
            <w:tcBorders>
              <w:top w:val="single" w:sz="4" w:space="0" w:color="000000"/>
              <w:left w:val="single" w:sz="4" w:space="0" w:color="000000"/>
              <w:bottom w:val="single" w:sz="4" w:space="0" w:color="000000"/>
              <w:right w:val="single" w:sz="4" w:space="0" w:color="000000"/>
            </w:tcBorders>
            <w:shd w:val="clear" w:color="auto" w:fill="D2DBE2"/>
            <w:noWrap/>
            <w:hideMark/>
          </w:tcPr>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Network Loss-US$/</w:t>
            </w:r>
            <w:proofErr w:type="spellStart"/>
            <w:r w:rsidRPr="00F33FB3">
              <w:rPr>
                <w:rFonts w:ascii="Arial" w:eastAsia="Calibri" w:hAnsi="Arial" w:cs="Arial"/>
                <w:b/>
                <w:bCs/>
                <w:sz w:val="16"/>
                <w:szCs w:val="18"/>
              </w:rPr>
              <w:t>Mth</w:t>
            </w:r>
            <w:proofErr w:type="spellEnd"/>
            <w:r w:rsidRPr="00F33FB3">
              <w:rPr>
                <w:rFonts w:ascii="Arial" w:eastAsia="Calibri" w:hAnsi="Arial" w:cs="Arial"/>
                <w:b/>
                <w:bCs/>
                <w:sz w:val="16"/>
                <w:szCs w:val="18"/>
              </w:rPr>
              <w:t>.</w:t>
            </w:r>
          </w:p>
        </w:tc>
        <w:tc>
          <w:tcPr>
            <w:tcW w:w="1008" w:type="dxa"/>
            <w:tcBorders>
              <w:top w:val="single" w:sz="4" w:space="0" w:color="000000"/>
              <w:left w:val="single" w:sz="4" w:space="0" w:color="000000"/>
              <w:bottom w:val="single" w:sz="4" w:space="0" w:color="000000"/>
              <w:right w:val="single" w:sz="4" w:space="0" w:color="000000"/>
            </w:tcBorders>
            <w:shd w:val="clear" w:color="auto" w:fill="D2DBE2"/>
            <w:noWrap/>
            <w:hideMark/>
          </w:tcPr>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Average Reactive Power-MVAR/day</w:t>
            </w:r>
          </w:p>
        </w:tc>
        <w:tc>
          <w:tcPr>
            <w:tcW w:w="1062" w:type="dxa"/>
            <w:tcBorders>
              <w:top w:val="single" w:sz="4" w:space="0" w:color="000000"/>
              <w:left w:val="single" w:sz="4" w:space="0" w:color="000000"/>
              <w:bottom w:val="single" w:sz="4" w:space="0" w:color="000000"/>
              <w:right w:val="single" w:sz="4" w:space="0" w:color="000000"/>
            </w:tcBorders>
            <w:shd w:val="clear" w:color="auto" w:fill="D2DBE2"/>
            <w:noWrap/>
            <w:hideMark/>
          </w:tcPr>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Reactive Factor- US$/Month</w:t>
            </w:r>
          </w:p>
        </w:tc>
      </w:tr>
      <w:tr w:rsidR="00F33FB3" w:rsidRPr="00F33FB3" w:rsidTr="00C8484C">
        <w:trPr>
          <w:trHeight w:val="249"/>
        </w:trPr>
        <w:tc>
          <w:tcPr>
            <w:tcW w:w="1260" w:type="dxa"/>
            <w:tcBorders>
              <w:top w:val="single" w:sz="4" w:space="0" w:color="000000"/>
              <w:left w:val="single" w:sz="4" w:space="0" w:color="000000"/>
              <w:bottom w:val="single" w:sz="4" w:space="0" w:color="000000"/>
              <w:right w:val="single" w:sz="4" w:space="0" w:color="000000"/>
            </w:tcBorders>
            <w:noWrap/>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Cote d'Ivoire-Burkina Faso</w:t>
            </w:r>
          </w:p>
        </w:tc>
        <w:tc>
          <w:tcPr>
            <w:tcW w:w="957"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81</w:t>
            </w:r>
          </w:p>
        </w:tc>
        <w:tc>
          <w:tcPr>
            <w:tcW w:w="1017"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2.714</w:t>
            </w:r>
          </w:p>
        </w:tc>
        <w:tc>
          <w:tcPr>
            <w:tcW w:w="1176"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8,294,319</w:t>
            </w:r>
          </w:p>
        </w:tc>
        <w:tc>
          <w:tcPr>
            <w:tcW w:w="810"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10.0</w:t>
            </w:r>
          </w:p>
        </w:tc>
        <w:tc>
          <w:tcPr>
            <w:tcW w:w="720"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10.14</w:t>
            </w:r>
          </w:p>
        </w:tc>
        <w:tc>
          <w:tcPr>
            <w:tcW w:w="1115"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3.912</w:t>
            </w:r>
          </w:p>
        </w:tc>
        <w:tc>
          <w:tcPr>
            <w:tcW w:w="1017"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0.0151</w:t>
            </w:r>
          </w:p>
        </w:tc>
        <w:tc>
          <w:tcPr>
            <w:tcW w:w="1018"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8,919.84</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1.65</w:t>
            </w:r>
          </w:p>
        </w:tc>
        <w:tc>
          <w:tcPr>
            <w:tcW w:w="1062"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1,426.47</w:t>
            </w:r>
          </w:p>
        </w:tc>
      </w:tr>
      <w:tr w:rsidR="00F33FB3" w:rsidRPr="00F33FB3" w:rsidTr="00C8484C">
        <w:trPr>
          <w:trHeight w:val="249"/>
        </w:trPr>
        <w:tc>
          <w:tcPr>
            <w:tcW w:w="1260" w:type="dxa"/>
            <w:tcBorders>
              <w:top w:val="single" w:sz="4" w:space="0" w:color="000000"/>
              <w:left w:val="single" w:sz="4" w:space="0" w:color="000000"/>
              <w:bottom w:val="single" w:sz="4" w:space="0" w:color="000000"/>
              <w:right w:val="single" w:sz="4" w:space="0" w:color="000000"/>
            </w:tcBorders>
            <w:noWrap/>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Cote d'Ivoire-Mali</w:t>
            </w:r>
          </w:p>
        </w:tc>
        <w:tc>
          <w:tcPr>
            <w:tcW w:w="957"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82</w:t>
            </w:r>
          </w:p>
        </w:tc>
        <w:tc>
          <w:tcPr>
            <w:tcW w:w="1017"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2.717</w:t>
            </w:r>
          </w:p>
        </w:tc>
        <w:tc>
          <w:tcPr>
            <w:tcW w:w="1176"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15,271,141</w:t>
            </w:r>
          </w:p>
        </w:tc>
        <w:tc>
          <w:tcPr>
            <w:tcW w:w="810"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10.0</w:t>
            </w:r>
          </w:p>
        </w:tc>
        <w:tc>
          <w:tcPr>
            <w:tcW w:w="720"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11.47</w:t>
            </w:r>
          </w:p>
        </w:tc>
        <w:tc>
          <w:tcPr>
            <w:tcW w:w="1115"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4.166</w:t>
            </w:r>
          </w:p>
        </w:tc>
        <w:tc>
          <w:tcPr>
            <w:tcW w:w="1017"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0.0159</w:t>
            </w:r>
          </w:p>
        </w:tc>
        <w:tc>
          <w:tcPr>
            <w:tcW w:w="1018"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9,498.33</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-11.25</w:t>
            </w:r>
          </w:p>
        </w:tc>
        <w:tc>
          <w:tcPr>
            <w:tcW w:w="1062"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-10,158.65</w:t>
            </w:r>
          </w:p>
        </w:tc>
      </w:tr>
      <w:tr w:rsidR="00F33FB3" w:rsidRPr="00F33FB3" w:rsidTr="00C8484C">
        <w:trPr>
          <w:trHeight w:val="249"/>
        </w:trPr>
        <w:tc>
          <w:tcPr>
            <w:tcW w:w="1260" w:type="dxa"/>
            <w:tcBorders>
              <w:top w:val="single" w:sz="4" w:space="0" w:color="000000"/>
              <w:left w:val="single" w:sz="4" w:space="0" w:color="000000"/>
              <w:bottom w:val="single" w:sz="4" w:space="0" w:color="000000"/>
              <w:right w:val="single" w:sz="4" w:space="0" w:color="000000"/>
            </w:tcBorders>
            <w:noWrap/>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Nigeria-CEB (Benin/Togo)</w:t>
            </w:r>
          </w:p>
        </w:tc>
        <w:tc>
          <w:tcPr>
            <w:tcW w:w="957"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121 Each</w:t>
            </w:r>
          </w:p>
        </w:tc>
        <w:tc>
          <w:tcPr>
            <w:tcW w:w="1017"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0.628</w:t>
            </w:r>
          </w:p>
        </w:tc>
        <w:tc>
          <w:tcPr>
            <w:tcW w:w="1176"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3,006,723</w:t>
            </w:r>
          </w:p>
        </w:tc>
        <w:tc>
          <w:tcPr>
            <w:tcW w:w="810"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10.0</w:t>
            </w:r>
          </w:p>
        </w:tc>
        <w:tc>
          <w:tcPr>
            <w:tcW w:w="720"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10.22</w:t>
            </w:r>
          </w:p>
        </w:tc>
        <w:tc>
          <w:tcPr>
            <w:tcW w:w="1115"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1.884</w:t>
            </w:r>
          </w:p>
        </w:tc>
        <w:tc>
          <w:tcPr>
            <w:tcW w:w="1017"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0.0023</w:t>
            </w:r>
          </w:p>
        </w:tc>
        <w:tc>
          <w:tcPr>
            <w:tcW w:w="1018"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3,970.53</w:t>
            </w:r>
          </w:p>
        </w:tc>
        <w:tc>
          <w:tcPr>
            <w:tcW w:w="1008" w:type="dxa"/>
            <w:tcBorders>
              <w:top w:val="single" w:sz="4" w:space="0" w:color="000000"/>
              <w:left w:val="single" w:sz="4" w:space="0" w:color="000000"/>
              <w:bottom w:val="single" w:sz="4" w:space="0" w:color="000000"/>
              <w:right w:val="single" w:sz="4" w:space="0" w:color="000000"/>
            </w:tcBorders>
            <w:noWrap/>
            <w:vAlign w:val="center"/>
          </w:tcPr>
          <w:p w:rsidR="00F33FB3" w:rsidRPr="00F33FB3" w:rsidRDefault="00F33FB3" w:rsidP="00C8484C">
            <w:pPr>
              <w:rPr>
                <w:rFonts w:ascii="Arial" w:eastAsia="Calibri" w:hAnsi="Arial" w:cs="Arial"/>
                <w:b/>
                <w:bCs/>
                <w:sz w:val="16"/>
                <w:szCs w:val="18"/>
              </w:rPr>
            </w:pPr>
            <w:r w:rsidRPr="00F33FB3">
              <w:rPr>
                <w:rFonts w:ascii="Arial" w:eastAsia="Calibri" w:hAnsi="Arial" w:cs="Arial"/>
                <w:b/>
                <w:bCs/>
                <w:sz w:val="16"/>
                <w:szCs w:val="18"/>
              </w:rPr>
              <w:t>30.08</w:t>
            </w:r>
          </w:p>
        </w:tc>
        <w:tc>
          <w:tcPr>
            <w:tcW w:w="1062"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27,155.84</w:t>
            </w:r>
          </w:p>
        </w:tc>
      </w:tr>
      <w:tr w:rsidR="00F33FB3" w:rsidRPr="00F33FB3" w:rsidTr="00C8484C">
        <w:trPr>
          <w:trHeight w:val="249"/>
        </w:trPr>
        <w:tc>
          <w:tcPr>
            <w:tcW w:w="1260" w:type="dxa"/>
            <w:tcBorders>
              <w:top w:val="single" w:sz="4" w:space="0" w:color="000000"/>
              <w:left w:val="single" w:sz="4" w:space="0" w:color="000000"/>
              <w:bottom w:val="single" w:sz="4" w:space="0" w:color="000000"/>
              <w:right w:val="single" w:sz="4" w:space="0" w:color="000000"/>
            </w:tcBorders>
            <w:noWrap/>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Congo Republic - DRC</w:t>
            </w:r>
          </w:p>
        </w:tc>
        <w:tc>
          <w:tcPr>
            <w:tcW w:w="957"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 </w:t>
            </w:r>
            <w:r w:rsidRPr="00F33FB3">
              <w:rPr>
                <w:rFonts w:ascii="Arial" w:eastAsia="Calibri" w:hAnsi="Arial" w:cs="Arial"/>
                <w:bCs/>
                <w:sz w:val="16"/>
                <w:szCs w:val="18"/>
              </w:rPr>
              <w:t>50</w:t>
            </w:r>
          </w:p>
        </w:tc>
        <w:tc>
          <w:tcPr>
            <w:tcW w:w="1017"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2.446</w:t>
            </w:r>
          </w:p>
        </w:tc>
        <w:tc>
          <w:tcPr>
            <w:tcW w:w="1176"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7,996,649</w:t>
            </w:r>
          </w:p>
        </w:tc>
        <w:tc>
          <w:tcPr>
            <w:tcW w:w="810"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10.00</w:t>
            </w:r>
          </w:p>
        </w:tc>
        <w:tc>
          <w:tcPr>
            <w:tcW w:w="720"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sz w:val="16"/>
                <w:szCs w:val="18"/>
              </w:rPr>
              <w:t> </w:t>
            </w:r>
            <w:r w:rsidRPr="00F33FB3">
              <w:rPr>
                <w:rFonts w:ascii="Arial" w:eastAsia="Calibri" w:hAnsi="Arial" w:cs="Arial"/>
                <w:bCs/>
                <w:sz w:val="16"/>
                <w:szCs w:val="18"/>
              </w:rPr>
              <w:t>11.31</w:t>
            </w:r>
          </w:p>
        </w:tc>
        <w:tc>
          <w:tcPr>
            <w:tcW w:w="1115"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sz w:val="16"/>
                <w:szCs w:val="18"/>
              </w:rPr>
              <w:t> </w:t>
            </w:r>
            <w:r w:rsidRPr="00F33FB3">
              <w:rPr>
                <w:rFonts w:ascii="Arial" w:eastAsia="Calibri" w:hAnsi="Arial" w:cs="Arial"/>
                <w:bCs/>
                <w:sz w:val="16"/>
                <w:szCs w:val="18"/>
              </w:rPr>
              <w:t>1.213</w:t>
            </w:r>
          </w:p>
        </w:tc>
        <w:tc>
          <w:tcPr>
            <w:tcW w:w="1017"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 </w:t>
            </w:r>
            <w:r w:rsidRPr="00F33FB3">
              <w:rPr>
                <w:rFonts w:ascii="Arial" w:eastAsia="Calibri" w:hAnsi="Arial" w:cs="Arial"/>
                <w:bCs/>
                <w:sz w:val="16"/>
                <w:szCs w:val="18"/>
              </w:rPr>
              <w:t>0.0075</w:t>
            </w:r>
          </w:p>
        </w:tc>
        <w:tc>
          <w:tcPr>
            <w:tcW w:w="1018"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 2,765.31</w:t>
            </w:r>
          </w:p>
        </w:tc>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sz w:val="16"/>
                <w:szCs w:val="18"/>
              </w:rPr>
            </w:pPr>
            <w:r w:rsidRPr="00F33FB3">
              <w:rPr>
                <w:rFonts w:ascii="Arial" w:eastAsia="Calibri" w:hAnsi="Arial" w:cs="Arial"/>
                <w:sz w:val="16"/>
                <w:szCs w:val="18"/>
              </w:rPr>
              <w:t> </w:t>
            </w:r>
            <w:r w:rsidRPr="00F33FB3">
              <w:rPr>
                <w:rFonts w:ascii="Arial" w:eastAsia="Calibri" w:hAnsi="Arial" w:cs="Arial"/>
                <w:bCs/>
                <w:sz w:val="16"/>
                <w:szCs w:val="18"/>
              </w:rPr>
              <w:t>-5.83</w:t>
            </w:r>
          </w:p>
        </w:tc>
        <w:tc>
          <w:tcPr>
            <w:tcW w:w="1062" w:type="dxa"/>
            <w:tcBorders>
              <w:top w:val="single" w:sz="4" w:space="0" w:color="000000"/>
              <w:left w:val="single" w:sz="4" w:space="0" w:color="000000"/>
              <w:bottom w:val="single" w:sz="4" w:space="0" w:color="000000"/>
              <w:right w:val="single" w:sz="4" w:space="0" w:color="000000"/>
            </w:tcBorders>
            <w:noWrap/>
            <w:vAlign w:val="center"/>
            <w:hideMark/>
          </w:tcPr>
          <w:p w:rsidR="00F33FB3" w:rsidRPr="00F33FB3" w:rsidRDefault="00F33FB3" w:rsidP="00C8484C">
            <w:pPr>
              <w:rPr>
                <w:rFonts w:ascii="Arial" w:eastAsia="Calibri" w:hAnsi="Arial" w:cs="Arial"/>
                <w:bCs/>
                <w:sz w:val="16"/>
                <w:szCs w:val="18"/>
              </w:rPr>
            </w:pPr>
            <w:r w:rsidRPr="00F33FB3">
              <w:rPr>
                <w:rFonts w:ascii="Arial" w:eastAsia="Calibri" w:hAnsi="Arial" w:cs="Arial"/>
                <w:bCs/>
                <w:sz w:val="16"/>
                <w:szCs w:val="18"/>
              </w:rPr>
              <w:t> -5,053.04</w:t>
            </w:r>
          </w:p>
        </w:tc>
      </w:tr>
    </w:tbl>
    <w:p w:rsidR="00F33FB3" w:rsidRDefault="00F33FB3" w:rsidP="00F33FB3">
      <w:pPr>
        <w:contextualSpacing/>
        <w:jc w:val="both"/>
        <w:rPr>
          <w:rFonts w:eastAsia="Calibri" w:cs="Arial"/>
          <w:b/>
          <w:color w:val="394A58"/>
          <w:szCs w:val="20"/>
        </w:rPr>
      </w:pPr>
    </w:p>
    <w:p w:rsidR="00F33FB3" w:rsidRPr="00DF43B9" w:rsidRDefault="00F33FB3" w:rsidP="00F33FB3">
      <w:pPr>
        <w:contextualSpacing/>
        <w:jc w:val="both"/>
        <w:rPr>
          <w:rFonts w:eastAsia="Calibri" w:cs="Arial"/>
          <w:b/>
          <w:color w:val="394A58"/>
          <w:szCs w:val="20"/>
        </w:rPr>
      </w:pPr>
    </w:p>
    <w:p w:rsidR="00F33FB3" w:rsidRPr="00F33FB3" w:rsidRDefault="00F33FB3" w:rsidP="00F33FB3">
      <w:pPr>
        <w:pStyle w:val="ListParagraph"/>
        <w:keepNext/>
        <w:keepLines/>
        <w:numPr>
          <w:ilvl w:val="0"/>
          <w:numId w:val="11"/>
        </w:numPr>
        <w:spacing w:after="40"/>
        <w:ind w:left="567" w:hanging="567"/>
        <w:outlineLvl w:val="1"/>
        <w:rPr>
          <w:rFonts w:ascii="Arial" w:eastAsia="SimSun" w:hAnsi="Arial" w:cs="Arial"/>
          <w:b/>
          <w:bCs/>
        </w:rPr>
      </w:pPr>
      <w:r w:rsidRPr="00F33FB3">
        <w:rPr>
          <w:rFonts w:ascii="Arial" w:eastAsia="SimSun" w:hAnsi="Arial" w:cs="Arial"/>
          <w:b/>
          <w:bCs/>
        </w:rPr>
        <w:t>Recommendations: Policy, Regulatory and Technical</w:t>
      </w:r>
    </w:p>
    <w:p w:rsidR="00F33FB3" w:rsidRPr="00F33FB3" w:rsidRDefault="00F33FB3" w:rsidP="00F33FB3">
      <w:pPr>
        <w:numPr>
          <w:ilvl w:val="0"/>
          <w:numId w:val="13"/>
        </w:numPr>
        <w:jc w:val="both"/>
        <w:rPr>
          <w:rFonts w:ascii="Arial" w:eastAsia="Calibri" w:hAnsi="Arial" w:cs="Arial"/>
          <w:b/>
        </w:rPr>
      </w:pPr>
      <w:r w:rsidRPr="00F33FB3">
        <w:rPr>
          <w:rFonts w:ascii="Arial" w:eastAsia="Calibri" w:hAnsi="Arial" w:cs="Arial"/>
          <w:b/>
        </w:rPr>
        <w:t>Benchmarks</w:t>
      </w:r>
    </w:p>
    <w:p w:rsidR="00F33FB3" w:rsidRPr="00F33FB3" w:rsidRDefault="00F33FB3" w:rsidP="00F33FB3">
      <w:pPr>
        <w:autoSpaceDE w:val="0"/>
        <w:autoSpaceDN w:val="0"/>
        <w:adjustRightInd w:val="0"/>
        <w:spacing w:after="287"/>
        <w:jc w:val="both"/>
        <w:rPr>
          <w:rFonts w:ascii="Arial" w:eastAsia="Calibri" w:hAnsi="Arial" w:cs="Arial"/>
        </w:rPr>
      </w:pPr>
      <w:r w:rsidRPr="00F33FB3">
        <w:rPr>
          <w:rFonts w:ascii="Arial" w:eastAsia="Calibri" w:hAnsi="Arial" w:cs="Arial"/>
        </w:rPr>
        <w:t>Based on the review of international practice, it is recommended that the following benchmarks could be used as a guide by the regulatory authorities and power pools for the transmission tariff calculations:</w:t>
      </w:r>
    </w:p>
    <w:p w:rsidR="00F33FB3" w:rsidRPr="00F33FB3" w:rsidRDefault="00F33FB3" w:rsidP="00F33FB3">
      <w:pPr>
        <w:autoSpaceDE w:val="0"/>
        <w:autoSpaceDN w:val="0"/>
        <w:adjustRightInd w:val="0"/>
        <w:jc w:val="both"/>
        <w:rPr>
          <w:rFonts w:ascii="Arial" w:eastAsia="Calibri" w:hAnsi="Arial" w:cs="Arial"/>
          <w:b/>
        </w:rPr>
      </w:pPr>
      <w:r w:rsidRPr="00F33FB3">
        <w:rPr>
          <w:rFonts w:ascii="Arial" w:eastAsia="Calibri" w:hAnsi="Arial" w:cs="Arial"/>
          <w:b/>
        </w:rPr>
        <w:t>Recommended Asset Lives and O&amp;M Cost Factor</w:t>
      </w:r>
    </w:p>
    <w:tbl>
      <w:tblPr>
        <w:tblStyle w:val="TableGrid1"/>
        <w:tblW w:w="0" w:type="auto"/>
        <w:tblLook w:val="04A0" w:firstRow="1" w:lastRow="0" w:firstColumn="1" w:lastColumn="0" w:noHBand="0" w:noVBand="1"/>
      </w:tblPr>
      <w:tblGrid>
        <w:gridCol w:w="2785"/>
        <w:gridCol w:w="1530"/>
        <w:gridCol w:w="1620"/>
      </w:tblGrid>
      <w:tr w:rsidR="00F33FB3" w:rsidRPr="00F33FB3" w:rsidTr="00C8484C">
        <w:trPr>
          <w:trHeight w:val="277"/>
        </w:trPr>
        <w:tc>
          <w:tcPr>
            <w:tcW w:w="2785" w:type="dxa"/>
            <w:tcBorders>
              <w:top w:val="single" w:sz="4" w:space="0" w:color="000000"/>
              <w:left w:val="single" w:sz="4" w:space="0" w:color="000000"/>
              <w:bottom w:val="single" w:sz="4" w:space="0" w:color="000000"/>
              <w:right w:val="single" w:sz="4" w:space="0" w:color="000000"/>
            </w:tcBorders>
            <w:hideMark/>
          </w:tcPr>
          <w:p w:rsidR="00F33FB3" w:rsidRPr="00F33FB3" w:rsidRDefault="00F33FB3" w:rsidP="00C8484C">
            <w:pPr>
              <w:autoSpaceDE w:val="0"/>
              <w:autoSpaceDN w:val="0"/>
              <w:adjustRightInd w:val="0"/>
              <w:jc w:val="both"/>
              <w:rPr>
                <w:rFonts w:ascii="Arial" w:eastAsia="Calibri" w:hAnsi="Arial" w:cs="Arial"/>
                <w:b/>
                <w:sz w:val="20"/>
                <w:szCs w:val="20"/>
              </w:rPr>
            </w:pPr>
            <w:r w:rsidRPr="00F33FB3">
              <w:rPr>
                <w:rFonts w:ascii="Arial" w:eastAsia="Calibri" w:hAnsi="Arial" w:cs="Arial"/>
                <w:b/>
                <w:sz w:val="20"/>
                <w:szCs w:val="20"/>
              </w:rPr>
              <w:t>Parameter</w:t>
            </w:r>
          </w:p>
        </w:tc>
        <w:tc>
          <w:tcPr>
            <w:tcW w:w="1530" w:type="dxa"/>
            <w:tcBorders>
              <w:top w:val="single" w:sz="4" w:space="0" w:color="000000"/>
              <w:left w:val="single" w:sz="4" w:space="0" w:color="000000"/>
              <w:bottom w:val="single" w:sz="4" w:space="0" w:color="000000"/>
              <w:right w:val="single" w:sz="4" w:space="0" w:color="000000"/>
            </w:tcBorders>
            <w:hideMark/>
          </w:tcPr>
          <w:p w:rsidR="00F33FB3" w:rsidRPr="00F33FB3" w:rsidRDefault="00F33FB3" w:rsidP="00C8484C">
            <w:pPr>
              <w:autoSpaceDE w:val="0"/>
              <w:autoSpaceDN w:val="0"/>
              <w:adjustRightInd w:val="0"/>
              <w:jc w:val="both"/>
              <w:rPr>
                <w:rFonts w:ascii="Arial" w:eastAsia="Calibri" w:hAnsi="Arial" w:cs="Arial"/>
                <w:b/>
                <w:sz w:val="20"/>
                <w:szCs w:val="20"/>
              </w:rPr>
            </w:pPr>
            <w:r w:rsidRPr="00F33FB3">
              <w:rPr>
                <w:rFonts w:ascii="Arial" w:eastAsia="Calibri" w:hAnsi="Arial" w:cs="Arial"/>
                <w:b/>
                <w:sz w:val="20"/>
                <w:szCs w:val="20"/>
              </w:rPr>
              <w:t>High Value</w:t>
            </w:r>
          </w:p>
        </w:tc>
        <w:tc>
          <w:tcPr>
            <w:tcW w:w="1620" w:type="dxa"/>
            <w:tcBorders>
              <w:top w:val="single" w:sz="4" w:space="0" w:color="000000"/>
              <w:left w:val="single" w:sz="4" w:space="0" w:color="000000"/>
              <w:bottom w:val="single" w:sz="4" w:space="0" w:color="000000"/>
              <w:right w:val="single" w:sz="4" w:space="0" w:color="000000"/>
            </w:tcBorders>
            <w:hideMark/>
          </w:tcPr>
          <w:p w:rsidR="00F33FB3" w:rsidRPr="00F33FB3" w:rsidRDefault="00F33FB3" w:rsidP="00C8484C">
            <w:pPr>
              <w:autoSpaceDE w:val="0"/>
              <w:autoSpaceDN w:val="0"/>
              <w:adjustRightInd w:val="0"/>
              <w:jc w:val="both"/>
              <w:rPr>
                <w:rFonts w:ascii="Arial" w:eastAsia="Calibri" w:hAnsi="Arial" w:cs="Arial"/>
                <w:b/>
                <w:sz w:val="20"/>
                <w:szCs w:val="20"/>
              </w:rPr>
            </w:pPr>
            <w:r w:rsidRPr="00F33FB3">
              <w:rPr>
                <w:rFonts w:ascii="Arial" w:eastAsia="Calibri" w:hAnsi="Arial" w:cs="Arial"/>
                <w:b/>
                <w:sz w:val="20"/>
                <w:szCs w:val="20"/>
              </w:rPr>
              <w:t>Low Value</w:t>
            </w:r>
          </w:p>
        </w:tc>
      </w:tr>
      <w:tr w:rsidR="00F33FB3" w:rsidRPr="00F33FB3" w:rsidTr="00C8484C">
        <w:tc>
          <w:tcPr>
            <w:tcW w:w="2785" w:type="dxa"/>
            <w:tcBorders>
              <w:top w:val="single" w:sz="4" w:space="0" w:color="000000"/>
              <w:left w:val="single" w:sz="4" w:space="0" w:color="000000"/>
              <w:bottom w:val="single" w:sz="4" w:space="0" w:color="auto"/>
              <w:right w:val="single" w:sz="4" w:space="0" w:color="000000"/>
            </w:tcBorders>
            <w:hideMark/>
          </w:tcPr>
          <w:p w:rsidR="00F33FB3" w:rsidRPr="00F33FB3" w:rsidRDefault="00F33FB3" w:rsidP="00C8484C">
            <w:pPr>
              <w:autoSpaceDE w:val="0"/>
              <w:autoSpaceDN w:val="0"/>
              <w:adjustRightInd w:val="0"/>
              <w:jc w:val="both"/>
              <w:rPr>
                <w:rFonts w:ascii="Arial" w:eastAsia="Calibri" w:hAnsi="Arial" w:cs="Arial"/>
                <w:b/>
                <w:sz w:val="20"/>
                <w:szCs w:val="20"/>
              </w:rPr>
            </w:pPr>
            <w:r w:rsidRPr="00F33FB3">
              <w:rPr>
                <w:rFonts w:ascii="Arial" w:eastAsia="Calibri" w:hAnsi="Arial" w:cs="Arial"/>
                <w:b/>
                <w:sz w:val="20"/>
                <w:szCs w:val="20"/>
              </w:rPr>
              <w:t xml:space="preserve">Depreciation: </w:t>
            </w:r>
          </w:p>
          <w:p w:rsidR="00F33FB3" w:rsidRPr="00F33FB3" w:rsidRDefault="00F33FB3" w:rsidP="00F33FB3">
            <w:pPr>
              <w:numPr>
                <w:ilvl w:val="0"/>
                <w:numId w:val="14"/>
              </w:numPr>
              <w:autoSpaceDE w:val="0"/>
              <w:autoSpaceDN w:val="0"/>
              <w:adjustRightInd w:val="0"/>
              <w:contextualSpacing/>
              <w:jc w:val="both"/>
              <w:outlineLvl w:val="1"/>
              <w:rPr>
                <w:rFonts w:ascii="Arial" w:eastAsia="Calibri" w:hAnsi="Arial" w:cs="Arial"/>
                <w:sz w:val="20"/>
                <w:szCs w:val="20"/>
              </w:rPr>
            </w:pPr>
            <w:r w:rsidRPr="00F33FB3">
              <w:rPr>
                <w:rFonts w:ascii="Arial" w:eastAsia="Calibri" w:hAnsi="Arial" w:cs="Arial"/>
                <w:sz w:val="20"/>
                <w:szCs w:val="20"/>
              </w:rPr>
              <w:t>Transmission Lines</w:t>
            </w:r>
          </w:p>
          <w:p w:rsidR="00F33FB3" w:rsidRPr="00F33FB3" w:rsidRDefault="00F33FB3" w:rsidP="00F33FB3">
            <w:pPr>
              <w:numPr>
                <w:ilvl w:val="0"/>
                <w:numId w:val="14"/>
              </w:numPr>
              <w:autoSpaceDE w:val="0"/>
              <w:autoSpaceDN w:val="0"/>
              <w:adjustRightInd w:val="0"/>
              <w:contextualSpacing/>
              <w:jc w:val="both"/>
              <w:outlineLvl w:val="1"/>
              <w:rPr>
                <w:rFonts w:ascii="Arial" w:eastAsia="Calibri" w:hAnsi="Arial" w:cs="Arial"/>
                <w:sz w:val="20"/>
                <w:szCs w:val="20"/>
              </w:rPr>
            </w:pPr>
            <w:r w:rsidRPr="00F33FB3">
              <w:rPr>
                <w:rFonts w:ascii="Arial" w:eastAsia="Calibri" w:hAnsi="Arial" w:cs="Arial"/>
                <w:sz w:val="20"/>
                <w:szCs w:val="20"/>
              </w:rPr>
              <w:t>Transformers</w:t>
            </w:r>
          </w:p>
          <w:p w:rsidR="00F33FB3" w:rsidRPr="00F33FB3" w:rsidRDefault="000D0807" w:rsidP="00F33FB3">
            <w:pPr>
              <w:numPr>
                <w:ilvl w:val="0"/>
                <w:numId w:val="14"/>
              </w:numPr>
              <w:autoSpaceDE w:val="0"/>
              <w:autoSpaceDN w:val="0"/>
              <w:adjustRightInd w:val="0"/>
              <w:contextualSpacing/>
              <w:jc w:val="both"/>
              <w:outlineLvl w:val="1"/>
              <w:rPr>
                <w:rFonts w:ascii="Arial" w:eastAsia="Calibri" w:hAnsi="Arial" w:cs="Arial"/>
                <w:sz w:val="20"/>
                <w:szCs w:val="20"/>
              </w:rPr>
            </w:pPr>
            <w:r w:rsidRPr="00F33FB3">
              <w:rPr>
                <w:rFonts w:ascii="Arial" w:eastAsia="Calibri" w:hAnsi="Arial" w:cs="Arial"/>
                <w:sz w:val="20"/>
                <w:szCs w:val="20"/>
              </w:rPr>
              <w:t>Switch bays</w:t>
            </w:r>
          </w:p>
        </w:tc>
        <w:tc>
          <w:tcPr>
            <w:tcW w:w="1530" w:type="dxa"/>
            <w:tcBorders>
              <w:top w:val="single" w:sz="4" w:space="0" w:color="000000"/>
              <w:left w:val="single" w:sz="4" w:space="0" w:color="000000"/>
              <w:bottom w:val="single" w:sz="4" w:space="0" w:color="000000"/>
              <w:right w:val="single" w:sz="4" w:space="0" w:color="000000"/>
            </w:tcBorders>
          </w:tcPr>
          <w:p w:rsidR="00F33FB3" w:rsidRPr="00F33FB3" w:rsidRDefault="00F33FB3" w:rsidP="00C8484C">
            <w:pPr>
              <w:autoSpaceDE w:val="0"/>
              <w:autoSpaceDN w:val="0"/>
              <w:adjustRightInd w:val="0"/>
              <w:jc w:val="both"/>
              <w:rPr>
                <w:rFonts w:ascii="Arial" w:eastAsia="Calibri" w:hAnsi="Arial" w:cs="Arial"/>
                <w:sz w:val="20"/>
                <w:szCs w:val="20"/>
              </w:rPr>
            </w:pPr>
          </w:p>
          <w:p w:rsidR="00F33FB3" w:rsidRPr="00F33FB3" w:rsidRDefault="00F33FB3" w:rsidP="00C8484C">
            <w:pPr>
              <w:autoSpaceDE w:val="0"/>
              <w:autoSpaceDN w:val="0"/>
              <w:adjustRightInd w:val="0"/>
              <w:jc w:val="both"/>
              <w:rPr>
                <w:rFonts w:ascii="Arial" w:eastAsia="Calibri" w:hAnsi="Arial" w:cs="Arial"/>
                <w:sz w:val="20"/>
                <w:szCs w:val="20"/>
              </w:rPr>
            </w:pPr>
            <w:r w:rsidRPr="00F33FB3">
              <w:rPr>
                <w:rFonts w:ascii="Arial" w:eastAsia="Calibri" w:hAnsi="Arial" w:cs="Arial"/>
                <w:sz w:val="20"/>
                <w:szCs w:val="20"/>
              </w:rPr>
              <w:t>50 years</w:t>
            </w:r>
          </w:p>
          <w:p w:rsidR="00F33FB3" w:rsidRPr="00F33FB3" w:rsidRDefault="00F33FB3" w:rsidP="00C8484C">
            <w:pPr>
              <w:autoSpaceDE w:val="0"/>
              <w:autoSpaceDN w:val="0"/>
              <w:adjustRightInd w:val="0"/>
              <w:jc w:val="both"/>
              <w:rPr>
                <w:rFonts w:ascii="Arial" w:eastAsia="Calibri" w:hAnsi="Arial" w:cs="Arial"/>
                <w:sz w:val="20"/>
                <w:szCs w:val="20"/>
              </w:rPr>
            </w:pPr>
            <w:r w:rsidRPr="00F33FB3">
              <w:rPr>
                <w:rFonts w:ascii="Arial" w:eastAsia="Calibri" w:hAnsi="Arial" w:cs="Arial"/>
                <w:sz w:val="20"/>
                <w:szCs w:val="20"/>
              </w:rPr>
              <w:t>50 Years</w:t>
            </w:r>
          </w:p>
          <w:p w:rsidR="00F33FB3" w:rsidRPr="00F33FB3" w:rsidRDefault="00F33FB3" w:rsidP="00C8484C">
            <w:pPr>
              <w:autoSpaceDE w:val="0"/>
              <w:autoSpaceDN w:val="0"/>
              <w:adjustRightInd w:val="0"/>
              <w:jc w:val="both"/>
              <w:rPr>
                <w:rFonts w:ascii="Arial" w:eastAsia="Calibri" w:hAnsi="Arial" w:cs="Arial"/>
                <w:sz w:val="20"/>
                <w:szCs w:val="20"/>
              </w:rPr>
            </w:pPr>
            <w:r w:rsidRPr="00F33FB3">
              <w:rPr>
                <w:rFonts w:ascii="Arial" w:eastAsia="Calibri" w:hAnsi="Arial" w:cs="Arial"/>
                <w:sz w:val="20"/>
                <w:szCs w:val="20"/>
              </w:rPr>
              <w:t>50 years</w:t>
            </w:r>
          </w:p>
        </w:tc>
        <w:tc>
          <w:tcPr>
            <w:tcW w:w="1620" w:type="dxa"/>
            <w:tcBorders>
              <w:top w:val="single" w:sz="4" w:space="0" w:color="000000"/>
              <w:left w:val="single" w:sz="4" w:space="0" w:color="000000"/>
              <w:bottom w:val="single" w:sz="4" w:space="0" w:color="000000"/>
              <w:right w:val="single" w:sz="4" w:space="0" w:color="000000"/>
            </w:tcBorders>
          </w:tcPr>
          <w:p w:rsidR="00F33FB3" w:rsidRPr="00F33FB3" w:rsidRDefault="00F33FB3" w:rsidP="00C8484C">
            <w:pPr>
              <w:autoSpaceDE w:val="0"/>
              <w:autoSpaceDN w:val="0"/>
              <w:adjustRightInd w:val="0"/>
              <w:jc w:val="both"/>
              <w:rPr>
                <w:rFonts w:ascii="Arial" w:eastAsia="Calibri" w:hAnsi="Arial" w:cs="Arial"/>
                <w:sz w:val="20"/>
                <w:szCs w:val="20"/>
              </w:rPr>
            </w:pPr>
          </w:p>
          <w:p w:rsidR="00F33FB3" w:rsidRPr="00F33FB3" w:rsidRDefault="00F33FB3" w:rsidP="00C8484C">
            <w:pPr>
              <w:autoSpaceDE w:val="0"/>
              <w:autoSpaceDN w:val="0"/>
              <w:adjustRightInd w:val="0"/>
              <w:jc w:val="both"/>
              <w:rPr>
                <w:rFonts w:ascii="Arial" w:eastAsia="Calibri" w:hAnsi="Arial" w:cs="Arial"/>
                <w:sz w:val="20"/>
                <w:szCs w:val="20"/>
              </w:rPr>
            </w:pPr>
            <w:r w:rsidRPr="00F33FB3">
              <w:rPr>
                <w:rFonts w:ascii="Arial" w:eastAsia="Calibri" w:hAnsi="Arial" w:cs="Arial"/>
                <w:sz w:val="20"/>
                <w:szCs w:val="20"/>
              </w:rPr>
              <w:t>30 years</w:t>
            </w:r>
          </w:p>
          <w:p w:rsidR="00F33FB3" w:rsidRPr="00F33FB3" w:rsidRDefault="00F33FB3" w:rsidP="00C8484C">
            <w:pPr>
              <w:autoSpaceDE w:val="0"/>
              <w:autoSpaceDN w:val="0"/>
              <w:adjustRightInd w:val="0"/>
              <w:jc w:val="both"/>
              <w:rPr>
                <w:rFonts w:ascii="Arial" w:eastAsia="Calibri" w:hAnsi="Arial" w:cs="Arial"/>
                <w:sz w:val="20"/>
                <w:szCs w:val="20"/>
              </w:rPr>
            </w:pPr>
            <w:r w:rsidRPr="00F33FB3">
              <w:rPr>
                <w:rFonts w:ascii="Arial" w:eastAsia="Calibri" w:hAnsi="Arial" w:cs="Arial"/>
                <w:sz w:val="20"/>
                <w:szCs w:val="20"/>
              </w:rPr>
              <w:t>30 years</w:t>
            </w:r>
          </w:p>
          <w:p w:rsidR="00F33FB3" w:rsidRPr="00F33FB3" w:rsidRDefault="00F33FB3" w:rsidP="00C8484C">
            <w:pPr>
              <w:autoSpaceDE w:val="0"/>
              <w:autoSpaceDN w:val="0"/>
              <w:adjustRightInd w:val="0"/>
              <w:jc w:val="both"/>
              <w:rPr>
                <w:rFonts w:ascii="Arial" w:eastAsia="Calibri" w:hAnsi="Arial" w:cs="Arial"/>
                <w:sz w:val="20"/>
                <w:szCs w:val="20"/>
              </w:rPr>
            </w:pPr>
            <w:r w:rsidRPr="00F33FB3">
              <w:rPr>
                <w:rFonts w:ascii="Arial" w:eastAsia="Calibri" w:hAnsi="Arial" w:cs="Arial"/>
                <w:sz w:val="20"/>
                <w:szCs w:val="20"/>
              </w:rPr>
              <w:t>30 years</w:t>
            </w:r>
          </w:p>
        </w:tc>
      </w:tr>
      <w:tr w:rsidR="00F33FB3" w:rsidRPr="00F33FB3" w:rsidTr="00C8484C">
        <w:trPr>
          <w:trHeight w:val="223"/>
        </w:trPr>
        <w:tc>
          <w:tcPr>
            <w:tcW w:w="2785" w:type="dxa"/>
            <w:tcBorders>
              <w:top w:val="single" w:sz="4" w:space="0" w:color="auto"/>
              <w:left w:val="single" w:sz="4" w:space="0" w:color="auto"/>
              <w:bottom w:val="single" w:sz="4" w:space="0" w:color="auto"/>
              <w:right w:val="single" w:sz="4" w:space="0" w:color="auto"/>
            </w:tcBorders>
            <w:hideMark/>
          </w:tcPr>
          <w:p w:rsidR="00F33FB3" w:rsidRPr="00F33FB3" w:rsidRDefault="00F33FB3" w:rsidP="00C8484C">
            <w:pPr>
              <w:autoSpaceDE w:val="0"/>
              <w:autoSpaceDN w:val="0"/>
              <w:adjustRightInd w:val="0"/>
              <w:contextualSpacing/>
              <w:jc w:val="both"/>
              <w:rPr>
                <w:rFonts w:ascii="Arial" w:eastAsia="Calibri" w:hAnsi="Arial" w:cs="Arial"/>
                <w:sz w:val="20"/>
                <w:szCs w:val="20"/>
              </w:rPr>
            </w:pPr>
            <w:r w:rsidRPr="00F33FB3">
              <w:rPr>
                <w:rFonts w:ascii="Arial" w:eastAsia="Calibri" w:hAnsi="Arial" w:cs="Arial"/>
                <w:sz w:val="20"/>
                <w:szCs w:val="20"/>
              </w:rPr>
              <w:t>O&amp;M Cost Factor</w:t>
            </w:r>
          </w:p>
        </w:tc>
        <w:tc>
          <w:tcPr>
            <w:tcW w:w="1530" w:type="dxa"/>
            <w:tcBorders>
              <w:top w:val="single" w:sz="4" w:space="0" w:color="000000"/>
              <w:left w:val="single" w:sz="4" w:space="0" w:color="auto"/>
              <w:bottom w:val="single" w:sz="4" w:space="0" w:color="000000"/>
              <w:right w:val="single" w:sz="4" w:space="0" w:color="000000"/>
            </w:tcBorders>
            <w:hideMark/>
          </w:tcPr>
          <w:p w:rsidR="00F33FB3" w:rsidRPr="00F33FB3" w:rsidRDefault="00F33FB3" w:rsidP="00C8484C">
            <w:pPr>
              <w:autoSpaceDE w:val="0"/>
              <w:autoSpaceDN w:val="0"/>
              <w:adjustRightInd w:val="0"/>
              <w:spacing w:after="287"/>
              <w:contextualSpacing/>
              <w:jc w:val="both"/>
              <w:rPr>
                <w:rFonts w:ascii="Arial" w:eastAsia="Calibri" w:hAnsi="Arial" w:cs="Arial"/>
                <w:sz w:val="20"/>
                <w:szCs w:val="20"/>
              </w:rPr>
            </w:pPr>
            <w:r w:rsidRPr="00F33FB3">
              <w:rPr>
                <w:rFonts w:ascii="Arial" w:eastAsia="Calibri" w:hAnsi="Arial" w:cs="Arial"/>
                <w:sz w:val="20"/>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rsidR="00F33FB3" w:rsidRPr="00F33FB3" w:rsidRDefault="00F33FB3" w:rsidP="00C8484C">
            <w:pPr>
              <w:autoSpaceDE w:val="0"/>
              <w:autoSpaceDN w:val="0"/>
              <w:adjustRightInd w:val="0"/>
              <w:spacing w:after="287"/>
              <w:contextualSpacing/>
              <w:jc w:val="both"/>
              <w:rPr>
                <w:rFonts w:ascii="Arial" w:eastAsia="Calibri" w:hAnsi="Arial" w:cs="Arial"/>
                <w:sz w:val="20"/>
                <w:szCs w:val="20"/>
              </w:rPr>
            </w:pPr>
            <w:r w:rsidRPr="00F33FB3">
              <w:rPr>
                <w:rFonts w:ascii="Arial" w:eastAsia="Calibri" w:hAnsi="Arial" w:cs="Arial"/>
                <w:sz w:val="20"/>
                <w:szCs w:val="20"/>
              </w:rPr>
              <w:t>5%</w:t>
            </w:r>
          </w:p>
        </w:tc>
      </w:tr>
    </w:tbl>
    <w:p w:rsidR="00F33FB3" w:rsidRDefault="00F33FB3" w:rsidP="00F33FB3">
      <w:pPr>
        <w:spacing w:line="276" w:lineRule="auto"/>
        <w:contextualSpacing/>
        <w:jc w:val="both"/>
        <w:outlineLvl w:val="1"/>
        <w:rPr>
          <w:rFonts w:eastAsia="Calibri" w:cs="Arial"/>
          <w:b/>
          <w:color w:val="394A58"/>
          <w:szCs w:val="20"/>
        </w:rPr>
      </w:pPr>
    </w:p>
    <w:p w:rsidR="00F33FB3" w:rsidRPr="00F33FB3" w:rsidRDefault="00F33FB3" w:rsidP="00F33FB3">
      <w:pPr>
        <w:numPr>
          <w:ilvl w:val="0"/>
          <w:numId w:val="15"/>
        </w:numPr>
        <w:contextualSpacing/>
        <w:jc w:val="both"/>
        <w:outlineLvl w:val="1"/>
        <w:rPr>
          <w:rFonts w:ascii="Arial" w:eastAsia="Calibri" w:hAnsi="Arial" w:cs="Arial"/>
          <w:b/>
        </w:rPr>
      </w:pPr>
      <w:r w:rsidRPr="00F33FB3">
        <w:rPr>
          <w:rFonts w:ascii="Arial" w:eastAsia="Calibri" w:hAnsi="Arial" w:cs="Arial"/>
          <w:b/>
        </w:rPr>
        <w:t xml:space="preserve">Recovery of Transmission Tariff Components </w:t>
      </w:r>
    </w:p>
    <w:p w:rsidR="00F33FB3" w:rsidRPr="00F33FB3" w:rsidRDefault="00F33FB3" w:rsidP="00F33FB3">
      <w:pPr>
        <w:contextualSpacing/>
        <w:jc w:val="both"/>
        <w:rPr>
          <w:rFonts w:ascii="Arial" w:eastAsia="Calibri" w:hAnsi="Arial" w:cs="Arial"/>
          <w:b/>
          <w:i/>
        </w:rPr>
      </w:pPr>
      <w:r w:rsidRPr="00F33FB3">
        <w:rPr>
          <w:rFonts w:ascii="Arial" w:eastAsia="Calibri" w:hAnsi="Arial" w:cs="Arial"/>
        </w:rPr>
        <w:t xml:space="preserve">In </w:t>
      </w:r>
      <w:r w:rsidR="000D0807" w:rsidRPr="00F33FB3">
        <w:rPr>
          <w:rFonts w:ascii="Arial" w:eastAsia="Calibri" w:hAnsi="Arial" w:cs="Arial"/>
        </w:rPr>
        <w:t>operationalizing</w:t>
      </w:r>
      <w:r w:rsidRPr="00F33FB3">
        <w:rPr>
          <w:rFonts w:ascii="Arial" w:eastAsia="Calibri" w:hAnsi="Arial" w:cs="Arial"/>
        </w:rPr>
        <w:t xml:space="preserve"> the Transmission Tariff Methodology, the following transmission costs should at a minimum, be recovered by the TSOs: i. </w:t>
      </w:r>
      <w:r w:rsidRPr="00F33FB3">
        <w:rPr>
          <w:rFonts w:ascii="Arial" w:eastAsia="Calibri" w:hAnsi="Arial" w:cs="Arial"/>
          <w:b/>
        </w:rPr>
        <w:t>Reserved capacity (MW) and the associated energy (</w:t>
      </w:r>
      <w:proofErr w:type="spellStart"/>
      <w:r w:rsidRPr="00F33FB3">
        <w:rPr>
          <w:rFonts w:ascii="Arial" w:eastAsia="Calibri" w:hAnsi="Arial" w:cs="Arial"/>
          <w:b/>
        </w:rPr>
        <w:t>MWh</w:t>
      </w:r>
      <w:proofErr w:type="spellEnd"/>
      <w:r w:rsidRPr="00F33FB3">
        <w:rPr>
          <w:rFonts w:ascii="Arial" w:eastAsia="Calibri" w:hAnsi="Arial" w:cs="Arial"/>
          <w:b/>
        </w:rPr>
        <w:t>) ii.  Reactive Power iii. Transmission network losses</w:t>
      </w:r>
      <w:r w:rsidRPr="00F33FB3">
        <w:rPr>
          <w:rFonts w:ascii="Arial" w:eastAsia="Calibri" w:hAnsi="Arial" w:cs="Arial"/>
        </w:rPr>
        <w:t xml:space="preserve">. In addition, the regional regulatory authorities and power pools, should undertake studies with the view to determine how to calculate the compensation for the following ancillary services: </w:t>
      </w:r>
      <w:r w:rsidRPr="00F33FB3">
        <w:rPr>
          <w:rFonts w:ascii="Arial" w:eastAsia="Calibri" w:hAnsi="Arial" w:cs="Arial"/>
          <w:b/>
          <w:i/>
        </w:rPr>
        <w:t>Regulation and Frequency Control, Operating Reserves and Black Start Capability.</w:t>
      </w:r>
    </w:p>
    <w:p w:rsidR="00F33FB3" w:rsidRPr="00F33FB3" w:rsidRDefault="00F33FB3" w:rsidP="00F33FB3">
      <w:pPr>
        <w:jc w:val="both"/>
        <w:rPr>
          <w:rFonts w:ascii="Arial" w:eastAsia="Calibri" w:hAnsi="Arial" w:cs="Arial"/>
        </w:rPr>
      </w:pPr>
    </w:p>
    <w:p w:rsidR="00F33FB3" w:rsidRPr="00F33FB3" w:rsidRDefault="00F33FB3" w:rsidP="00F33FB3">
      <w:pPr>
        <w:numPr>
          <w:ilvl w:val="0"/>
          <w:numId w:val="15"/>
        </w:numPr>
        <w:spacing w:line="276" w:lineRule="auto"/>
        <w:contextualSpacing/>
        <w:jc w:val="both"/>
        <w:outlineLvl w:val="1"/>
        <w:rPr>
          <w:rFonts w:ascii="Arial" w:eastAsia="Calibri" w:hAnsi="Arial" w:cs="Arial"/>
          <w:b/>
        </w:rPr>
      </w:pPr>
      <w:r w:rsidRPr="00F33FB3">
        <w:rPr>
          <w:rFonts w:ascii="Arial" w:eastAsia="Calibri" w:hAnsi="Arial" w:cs="Arial"/>
          <w:b/>
        </w:rPr>
        <w:t>Rules for Capacity Allocation, Pricing and Congestion Management</w:t>
      </w:r>
    </w:p>
    <w:p w:rsidR="00F33FB3" w:rsidRPr="00F33FB3" w:rsidRDefault="00F33FB3" w:rsidP="00F33FB3">
      <w:pPr>
        <w:jc w:val="both"/>
        <w:rPr>
          <w:rFonts w:ascii="Arial" w:eastAsia="Calibri" w:hAnsi="Arial" w:cs="Arial"/>
        </w:rPr>
      </w:pPr>
      <w:r w:rsidRPr="00F33FB3">
        <w:rPr>
          <w:rFonts w:ascii="Arial" w:eastAsia="Calibri" w:hAnsi="Arial" w:cs="Arial"/>
        </w:rPr>
        <w:t xml:space="preserve">The regional regulatory authorities and power pools should develop </w:t>
      </w:r>
      <w:r w:rsidRPr="00F33FB3">
        <w:rPr>
          <w:rFonts w:ascii="Arial" w:eastAsia="Calibri" w:hAnsi="Arial" w:cs="Arial"/>
          <w:b/>
        </w:rPr>
        <w:t>Guidelines and Rules for Capacity Allocation and Congestion Management (CACM)</w:t>
      </w:r>
      <w:r w:rsidRPr="00F33FB3">
        <w:rPr>
          <w:rFonts w:ascii="Arial" w:eastAsia="Calibri" w:hAnsi="Arial" w:cs="Arial"/>
        </w:rPr>
        <w:t>. These Rules and Guidelines will define the method to be used by the SMO to among others, price capacity and award the usage right to available transmission capacity.</w:t>
      </w:r>
    </w:p>
    <w:p w:rsidR="00F33FB3" w:rsidRPr="00F33FB3" w:rsidRDefault="00F33FB3" w:rsidP="00F33FB3">
      <w:pPr>
        <w:jc w:val="both"/>
        <w:rPr>
          <w:rFonts w:ascii="Arial" w:eastAsia="Calibri" w:hAnsi="Arial" w:cs="Arial"/>
        </w:rPr>
      </w:pPr>
    </w:p>
    <w:p w:rsidR="00F33FB3" w:rsidRPr="00F33FB3" w:rsidRDefault="00F33FB3" w:rsidP="00F33FB3">
      <w:pPr>
        <w:numPr>
          <w:ilvl w:val="0"/>
          <w:numId w:val="16"/>
        </w:numPr>
        <w:contextualSpacing/>
        <w:jc w:val="both"/>
        <w:outlineLvl w:val="1"/>
        <w:rPr>
          <w:rFonts w:ascii="Arial" w:eastAsia="Calibri" w:hAnsi="Arial" w:cs="Arial"/>
          <w:b/>
        </w:rPr>
      </w:pPr>
      <w:r w:rsidRPr="00F33FB3">
        <w:rPr>
          <w:rFonts w:ascii="Arial" w:eastAsia="Calibri" w:hAnsi="Arial" w:cs="Arial"/>
          <w:b/>
        </w:rPr>
        <w:t>Guidelines and Strategies for Maintaining Efficient Transmission Network Loss Levels</w:t>
      </w:r>
    </w:p>
    <w:p w:rsidR="00F33FB3" w:rsidRPr="00F33FB3" w:rsidRDefault="00F33FB3" w:rsidP="00F33FB3">
      <w:pPr>
        <w:jc w:val="both"/>
        <w:rPr>
          <w:rFonts w:ascii="Arial" w:eastAsia="Calibri" w:hAnsi="Arial" w:cs="Arial"/>
          <w:i/>
        </w:rPr>
      </w:pPr>
      <w:r w:rsidRPr="00F33FB3">
        <w:rPr>
          <w:rFonts w:ascii="Arial" w:eastAsia="Calibri" w:hAnsi="Arial" w:cs="Arial"/>
        </w:rPr>
        <w:t xml:space="preserve">The regional regulatory authorities, in collaboration with the power pools should cap the transmission loss levels for all participating TSOs. In addition, </w:t>
      </w:r>
      <w:r w:rsidRPr="00F33FB3">
        <w:rPr>
          <w:rFonts w:ascii="Arial" w:eastAsia="Calibri" w:hAnsi="Arial" w:cs="Arial"/>
          <w:b/>
        </w:rPr>
        <w:t xml:space="preserve">Energy Audits can be commissioned, </w:t>
      </w:r>
      <w:r w:rsidRPr="00F33FB3">
        <w:rPr>
          <w:rFonts w:ascii="Arial" w:eastAsia="Calibri" w:hAnsi="Arial" w:cs="Arial"/>
          <w:i/>
        </w:rPr>
        <w:t xml:space="preserve">and Guidelines and Strategies can be developed, for reducing reactive absorption/injection and improving power factor. </w:t>
      </w:r>
    </w:p>
    <w:p w:rsidR="00F33FB3" w:rsidRPr="00F33FB3" w:rsidRDefault="00F33FB3" w:rsidP="00F33FB3">
      <w:pPr>
        <w:jc w:val="both"/>
        <w:rPr>
          <w:rFonts w:ascii="Arial" w:eastAsia="Calibri" w:hAnsi="Arial" w:cs="Arial"/>
        </w:rPr>
      </w:pPr>
    </w:p>
    <w:p w:rsidR="00F33FB3" w:rsidRPr="00F33FB3" w:rsidRDefault="00F33FB3" w:rsidP="00F33FB3">
      <w:pPr>
        <w:numPr>
          <w:ilvl w:val="0"/>
          <w:numId w:val="17"/>
        </w:numPr>
        <w:spacing w:after="240"/>
        <w:contextualSpacing/>
        <w:jc w:val="both"/>
        <w:outlineLvl w:val="1"/>
        <w:rPr>
          <w:rFonts w:ascii="Arial" w:eastAsia="Calibri" w:hAnsi="Arial" w:cs="Arial"/>
        </w:rPr>
      </w:pPr>
      <w:r w:rsidRPr="00F33FB3">
        <w:rPr>
          <w:rFonts w:ascii="Arial" w:eastAsia="Calibri" w:hAnsi="Arial" w:cs="Arial"/>
          <w:b/>
          <w:bCs/>
        </w:rPr>
        <w:t>Monitoring of Implementation of a Harmonized Transmission Tariff Methodology</w:t>
      </w:r>
    </w:p>
    <w:p w:rsidR="00F33FB3" w:rsidRPr="00F33FB3" w:rsidRDefault="00F33FB3" w:rsidP="00F33FB3">
      <w:pPr>
        <w:jc w:val="both"/>
        <w:rPr>
          <w:rFonts w:ascii="Arial" w:eastAsia="Calibri" w:hAnsi="Arial" w:cs="Arial"/>
          <w:bCs/>
        </w:rPr>
      </w:pPr>
      <w:r w:rsidRPr="00F33FB3">
        <w:rPr>
          <w:rFonts w:ascii="Arial" w:eastAsia="Calibri" w:hAnsi="Arial" w:cs="Arial"/>
        </w:rPr>
        <w:t xml:space="preserve">The monitoring of implementation of a Harmonized Transmission System Tariff Methodology could be under the purview of the </w:t>
      </w:r>
      <w:r w:rsidRPr="00F33FB3">
        <w:rPr>
          <w:rFonts w:ascii="Arial" w:eastAsia="Calibri" w:hAnsi="Arial" w:cs="Arial"/>
          <w:bCs/>
        </w:rPr>
        <w:t>AUC’s Department of Infrastructure of Energy,</w:t>
      </w:r>
      <w:r w:rsidRPr="00F33FB3">
        <w:rPr>
          <w:rFonts w:ascii="Arial" w:eastAsia="Calibri" w:hAnsi="Arial" w:cs="Arial"/>
          <w:b/>
          <w:bCs/>
        </w:rPr>
        <w:t xml:space="preserve"> </w:t>
      </w:r>
      <w:r w:rsidRPr="00F33FB3">
        <w:rPr>
          <w:rFonts w:ascii="Arial" w:eastAsia="Calibri" w:hAnsi="Arial" w:cs="Arial"/>
        </w:rPr>
        <w:t xml:space="preserve">through its Coordination </w:t>
      </w:r>
      <w:r w:rsidRPr="00F33FB3">
        <w:rPr>
          <w:rFonts w:ascii="Arial" w:eastAsia="Calibri" w:hAnsi="Arial" w:cs="Arial"/>
          <w:bCs/>
        </w:rPr>
        <w:t>Unit</w:t>
      </w:r>
      <w:r w:rsidRPr="00F33FB3">
        <w:rPr>
          <w:rFonts w:ascii="Arial" w:eastAsia="Calibri" w:hAnsi="Arial" w:cs="Arial"/>
        </w:rPr>
        <w:t xml:space="preserve"> known as the </w:t>
      </w:r>
      <w:r w:rsidRPr="00F33FB3">
        <w:rPr>
          <w:rFonts w:ascii="Arial" w:eastAsia="Calibri" w:hAnsi="Arial" w:cs="Arial"/>
          <w:bCs/>
          <w:i/>
        </w:rPr>
        <w:t>Electricity Regulatory Framework Unit (ERFU).</w:t>
      </w:r>
      <w:r w:rsidRPr="00F33FB3">
        <w:rPr>
          <w:rFonts w:ascii="Arial" w:eastAsia="Calibri" w:hAnsi="Arial" w:cs="Arial"/>
          <w:b/>
          <w:bCs/>
        </w:rPr>
        <w:t xml:space="preserve"> </w:t>
      </w:r>
      <w:r w:rsidRPr="00F33FB3">
        <w:rPr>
          <w:rFonts w:ascii="Arial" w:eastAsia="Calibri" w:hAnsi="Arial" w:cs="Arial"/>
          <w:bCs/>
        </w:rPr>
        <w:t xml:space="preserve">ERFU would be expected to </w:t>
      </w:r>
      <w:r w:rsidRPr="00F33FB3">
        <w:rPr>
          <w:rFonts w:ascii="Arial" w:eastAsia="Calibri" w:hAnsi="Arial" w:cs="Arial"/>
          <w:bCs/>
          <w:i/>
          <w:iCs/>
        </w:rPr>
        <w:t>ascertain if the transmission tariffs are determined and implemented in accordance with the principles set out in the Transmission Tariff Methodology, as agreed between the regional regulatory authorities and the power pools.</w:t>
      </w:r>
    </w:p>
    <w:p w:rsidR="00F33FB3" w:rsidRPr="00F33FB3" w:rsidRDefault="00F33FB3" w:rsidP="00F33FB3">
      <w:pPr>
        <w:numPr>
          <w:ilvl w:val="0"/>
          <w:numId w:val="17"/>
        </w:numPr>
        <w:jc w:val="both"/>
        <w:rPr>
          <w:rFonts w:ascii="Arial" w:eastAsia="Calibri" w:hAnsi="Arial" w:cs="Arial"/>
          <w:b/>
          <w:bCs/>
        </w:rPr>
      </w:pPr>
      <w:r w:rsidRPr="00F33FB3">
        <w:rPr>
          <w:rFonts w:ascii="Arial" w:eastAsia="Calibri" w:hAnsi="Arial" w:cs="Arial"/>
          <w:b/>
          <w:bCs/>
        </w:rPr>
        <w:t>Capacity Building on Tariff Computational Model</w:t>
      </w:r>
    </w:p>
    <w:p w:rsidR="00F33FB3" w:rsidRPr="00F33FB3" w:rsidRDefault="00F33FB3" w:rsidP="00F33FB3">
      <w:pPr>
        <w:jc w:val="both"/>
        <w:rPr>
          <w:rFonts w:ascii="Arial" w:eastAsia="Calibri" w:hAnsi="Arial" w:cs="Arial"/>
          <w:bCs/>
        </w:rPr>
      </w:pPr>
      <w:r w:rsidRPr="00F33FB3">
        <w:rPr>
          <w:rFonts w:ascii="Arial" w:eastAsia="Calibri" w:hAnsi="Arial" w:cs="Arial"/>
          <w:bCs/>
        </w:rPr>
        <w:t xml:space="preserve">A comprehensive training </w:t>
      </w:r>
      <w:proofErr w:type="spellStart"/>
      <w:r w:rsidRPr="00F33FB3">
        <w:rPr>
          <w:rFonts w:ascii="Arial" w:eastAsia="Calibri" w:hAnsi="Arial" w:cs="Arial"/>
          <w:bCs/>
        </w:rPr>
        <w:t>programme</w:t>
      </w:r>
      <w:proofErr w:type="spellEnd"/>
      <w:r w:rsidRPr="00F33FB3">
        <w:rPr>
          <w:rFonts w:ascii="Arial" w:eastAsia="Calibri" w:hAnsi="Arial" w:cs="Arial"/>
          <w:bCs/>
        </w:rPr>
        <w:t xml:space="preserve"> should be implemented for all key stakeholders, on the principles of the transmission tariff methodology, and operationalization of the computational tariff model. A high level capacity building </w:t>
      </w:r>
      <w:proofErr w:type="spellStart"/>
      <w:r w:rsidRPr="00F33FB3">
        <w:rPr>
          <w:rFonts w:ascii="Arial" w:eastAsia="Calibri" w:hAnsi="Arial" w:cs="Arial"/>
          <w:bCs/>
        </w:rPr>
        <w:t>programme</w:t>
      </w:r>
      <w:proofErr w:type="spellEnd"/>
      <w:r w:rsidRPr="00F33FB3">
        <w:rPr>
          <w:rFonts w:ascii="Arial" w:eastAsia="Calibri" w:hAnsi="Arial" w:cs="Arial"/>
          <w:bCs/>
        </w:rPr>
        <w:t xml:space="preserve"> should also be organized for policy makers and technical directors from the Energy Sector Ministry, on the principles of the tariff methodology. Additionally, since the results of the load flow studies are key inputs for the calculation of the transmission tariff, </w:t>
      </w:r>
      <w:r w:rsidRPr="00F33FB3">
        <w:rPr>
          <w:rFonts w:ascii="Arial" w:eastAsia="Calibri" w:hAnsi="Arial" w:cs="Arial"/>
          <w:bCs/>
          <w:i/>
        </w:rPr>
        <w:t xml:space="preserve">it is important that each </w:t>
      </w:r>
      <w:r w:rsidRPr="00F33FB3">
        <w:rPr>
          <w:rFonts w:ascii="Arial" w:eastAsia="Calibri" w:hAnsi="Arial" w:cs="Arial"/>
          <w:bCs/>
          <w:i/>
        </w:rPr>
        <w:lastRenderedPageBreak/>
        <w:t>participating TSO acquires a load flow software and train its engineers on how to carry out a load flow simulation for the tariff calculation.</w:t>
      </w:r>
      <w:bookmarkStart w:id="2" w:name="_Toc3455774"/>
      <w:bookmarkStart w:id="3" w:name="_Toc3455775"/>
      <w:bookmarkStart w:id="4" w:name="_Toc3455776"/>
      <w:bookmarkStart w:id="5" w:name="_Toc3455777"/>
      <w:bookmarkStart w:id="6" w:name="_Toc3455778"/>
      <w:bookmarkStart w:id="7" w:name="_Toc3455779"/>
      <w:bookmarkStart w:id="8" w:name="_Toc3455780"/>
      <w:bookmarkStart w:id="9" w:name="_Toc3455781"/>
      <w:bookmarkStart w:id="10" w:name="_Toc3455782"/>
      <w:bookmarkStart w:id="11" w:name="_Toc3455783"/>
      <w:bookmarkStart w:id="12" w:name="_Toc3455784"/>
      <w:bookmarkStart w:id="13" w:name="_Toc3455785"/>
      <w:bookmarkStart w:id="14" w:name="_Toc3455786"/>
      <w:bookmarkStart w:id="15" w:name="_Toc3455787"/>
      <w:bookmarkStart w:id="16" w:name="_Toc3455788"/>
      <w:bookmarkStart w:id="17" w:name="_Toc3455789"/>
      <w:bookmarkStart w:id="18" w:name="_Toc3455790"/>
      <w:bookmarkStart w:id="19" w:name="_Toc3455793"/>
      <w:bookmarkStart w:id="20" w:name="_Toc3455794"/>
      <w:bookmarkStart w:id="21" w:name="_Toc3455795"/>
      <w:bookmarkStart w:id="22" w:name="_Toc3455796"/>
      <w:bookmarkStart w:id="23" w:name="_Toc3455797"/>
      <w:bookmarkStart w:id="24" w:name="_Toc3455798"/>
      <w:bookmarkStart w:id="25" w:name="_Toc3455799"/>
      <w:bookmarkStart w:id="26" w:name="_Toc3455800"/>
      <w:bookmarkStart w:id="27" w:name="_Toc3455801"/>
      <w:bookmarkStart w:id="28" w:name="_Toc3455802"/>
      <w:bookmarkStart w:id="29" w:name="_Toc3455803"/>
      <w:bookmarkStart w:id="30" w:name="_Toc3455804"/>
      <w:bookmarkStart w:id="31" w:name="_Toc3455805"/>
      <w:bookmarkStart w:id="32" w:name="_Toc3455806"/>
      <w:bookmarkStart w:id="33" w:name="_Toc3455807"/>
      <w:bookmarkStart w:id="34" w:name="_Toc3455808"/>
      <w:bookmarkStart w:id="35" w:name="_Toc3455809"/>
      <w:bookmarkStart w:id="36" w:name="_Toc3455810"/>
      <w:bookmarkStart w:id="37" w:name="_Toc3455811"/>
      <w:bookmarkStart w:id="38" w:name="_Toc3455812"/>
      <w:bookmarkStart w:id="39" w:name="_Toc3455813"/>
      <w:bookmarkStart w:id="40" w:name="_Toc3455814"/>
      <w:bookmarkStart w:id="41" w:name="_Toc3455815"/>
      <w:bookmarkStart w:id="42" w:name="_Toc3455816"/>
      <w:bookmarkStart w:id="43" w:name="_Toc3455853"/>
      <w:bookmarkStart w:id="44" w:name="_Toc3455854"/>
      <w:bookmarkStart w:id="45" w:name="_Toc3455855"/>
      <w:bookmarkStart w:id="46" w:name="_Toc3455856"/>
      <w:bookmarkStart w:id="47" w:name="_Toc3455857"/>
      <w:bookmarkStart w:id="48" w:name="_Toc274652664"/>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F33FB3" w:rsidRPr="00F33FB3" w:rsidRDefault="00F33FB3" w:rsidP="00F33FB3">
      <w:pPr>
        <w:spacing w:after="200" w:line="276" w:lineRule="auto"/>
        <w:rPr>
          <w:rFonts w:ascii="Arial" w:hAnsi="Arial" w:cs="Arial"/>
        </w:rPr>
      </w:pPr>
    </w:p>
    <w:bookmarkEnd w:id="48"/>
    <w:p w:rsidR="00F33FB3" w:rsidRPr="00F33FB3" w:rsidRDefault="00F33FB3" w:rsidP="00F33FB3">
      <w:pPr>
        <w:pStyle w:val="ListParagraph"/>
        <w:keepNext/>
        <w:keepLines/>
        <w:numPr>
          <w:ilvl w:val="0"/>
          <w:numId w:val="11"/>
        </w:numPr>
        <w:spacing w:after="40"/>
        <w:ind w:left="567" w:hanging="567"/>
        <w:outlineLvl w:val="1"/>
        <w:rPr>
          <w:rFonts w:ascii="Arial" w:eastAsia="SimSun" w:hAnsi="Arial" w:cs="Arial"/>
          <w:b/>
          <w:bCs/>
        </w:rPr>
      </w:pPr>
      <w:r w:rsidRPr="00F33FB3">
        <w:rPr>
          <w:rFonts w:ascii="Arial" w:eastAsia="SimSun" w:hAnsi="Arial" w:cs="Arial"/>
          <w:b/>
          <w:bCs/>
        </w:rPr>
        <w:t>Expected STC Decision (14 – 18 April 2019)</w:t>
      </w:r>
    </w:p>
    <w:p w:rsidR="00F33FB3" w:rsidRPr="00F33FB3" w:rsidRDefault="00F33FB3" w:rsidP="00F33FB3">
      <w:pPr>
        <w:spacing w:after="200" w:line="276" w:lineRule="auto"/>
        <w:rPr>
          <w:rFonts w:ascii="Arial" w:eastAsia="Calibri" w:hAnsi="Arial" w:cs="Arial"/>
          <w:bCs/>
        </w:rPr>
      </w:pPr>
      <w:r w:rsidRPr="00F33FB3">
        <w:rPr>
          <w:rFonts w:ascii="Arial" w:eastAsia="Calibri" w:hAnsi="Arial" w:cs="Arial"/>
          <w:bCs/>
        </w:rPr>
        <w:t>The STC is requested to adopt the Continental Transmission System Tariff Methodology and urge the AUC, in collaboration with relevant stakeholders, to:</w:t>
      </w:r>
    </w:p>
    <w:p w:rsidR="00F33FB3" w:rsidRPr="00F33FB3" w:rsidRDefault="00F33FB3" w:rsidP="00F33FB3">
      <w:pPr>
        <w:pStyle w:val="ListParagraph"/>
        <w:numPr>
          <w:ilvl w:val="0"/>
          <w:numId w:val="19"/>
        </w:numPr>
        <w:spacing w:after="200" w:line="276" w:lineRule="auto"/>
        <w:outlineLvl w:val="1"/>
        <w:rPr>
          <w:rFonts w:ascii="Arial" w:hAnsi="Arial" w:cs="Arial"/>
        </w:rPr>
      </w:pPr>
      <w:r w:rsidRPr="00F33FB3">
        <w:rPr>
          <w:rFonts w:ascii="Arial" w:eastAsia="Calibri" w:hAnsi="Arial" w:cs="Arial"/>
          <w:bCs/>
        </w:rPr>
        <w:t xml:space="preserve">undertake a comprehensive training </w:t>
      </w:r>
      <w:proofErr w:type="spellStart"/>
      <w:r w:rsidRPr="00F33FB3">
        <w:rPr>
          <w:rFonts w:ascii="Arial" w:eastAsia="Calibri" w:hAnsi="Arial" w:cs="Arial"/>
          <w:bCs/>
        </w:rPr>
        <w:t>programme</w:t>
      </w:r>
      <w:proofErr w:type="spellEnd"/>
      <w:r w:rsidRPr="00F33FB3">
        <w:rPr>
          <w:rFonts w:ascii="Arial" w:eastAsia="Calibri" w:hAnsi="Arial" w:cs="Arial"/>
          <w:bCs/>
        </w:rPr>
        <w:t xml:space="preserve"> for all key stakeholders, on the principles of the transmission tariff methodology, and operationalization of the computational tariff model; and</w:t>
      </w:r>
    </w:p>
    <w:p w:rsidR="00F33FB3" w:rsidRPr="00F33FB3" w:rsidRDefault="00F33FB3" w:rsidP="00F33FB3">
      <w:pPr>
        <w:pStyle w:val="ListParagraph"/>
        <w:numPr>
          <w:ilvl w:val="0"/>
          <w:numId w:val="19"/>
        </w:numPr>
        <w:spacing w:after="200" w:line="276" w:lineRule="auto"/>
        <w:outlineLvl w:val="1"/>
        <w:rPr>
          <w:rFonts w:ascii="Arial" w:hAnsi="Arial" w:cs="Arial"/>
        </w:rPr>
      </w:pPr>
      <w:r w:rsidRPr="00F33FB3">
        <w:rPr>
          <w:rFonts w:ascii="Arial" w:hAnsi="Arial" w:cs="Arial"/>
        </w:rPr>
        <w:t>support power pools, regulatory bodies, Transmission System Operators (TSOs) and System Market Operators (SMOs) to implement the transmission tariff methodology; and</w:t>
      </w:r>
    </w:p>
    <w:p w:rsidR="00F33FB3" w:rsidRPr="00F33FB3" w:rsidRDefault="00F33FB3" w:rsidP="00F33FB3">
      <w:pPr>
        <w:pStyle w:val="ListParagraph"/>
        <w:numPr>
          <w:ilvl w:val="0"/>
          <w:numId w:val="19"/>
        </w:numPr>
        <w:spacing w:after="200" w:line="276" w:lineRule="auto"/>
        <w:outlineLvl w:val="1"/>
        <w:rPr>
          <w:rFonts w:ascii="Arial" w:hAnsi="Arial" w:cs="Arial"/>
        </w:rPr>
      </w:pPr>
      <w:r w:rsidRPr="00F33FB3">
        <w:rPr>
          <w:rFonts w:ascii="Arial" w:hAnsi="Arial" w:cs="Arial"/>
        </w:rPr>
        <w:t xml:space="preserve">continue implementation of the Strategy and Action Plan for a </w:t>
      </w:r>
      <w:r w:rsidR="000D0807" w:rsidRPr="00F33FB3">
        <w:rPr>
          <w:rFonts w:ascii="Arial" w:hAnsi="Arial" w:cs="Arial"/>
        </w:rPr>
        <w:t>Harmonized</w:t>
      </w:r>
      <w:r w:rsidRPr="00F33FB3">
        <w:rPr>
          <w:rFonts w:ascii="Arial" w:hAnsi="Arial" w:cs="Arial"/>
        </w:rPr>
        <w:t xml:space="preserve"> Regulatory Framework of Electricity Market in Africa</w:t>
      </w:r>
    </w:p>
    <w:p w:rsidR="004C5A7B" w:rsidRPr="00373FBC" w:rsidRDefault="004C5A7B" w:rsidP="00F33FB3"/>
    <w:sectPr w:rsidR="004C5A7B" w:rsidRPr="00373FBC" w:rsidSect="00E525D8">
      <w:headerReference w:type="default" r:id="rId11"/>
      <w:footerReference w:type="default" r:id="rId12"/>
      <w:headerReference w:type="first" r:id="rId13"/>
      <w:footerReference w:type="first" r:id="rId14"/>
      <w:pgSz w:w="11906" w:h="16838" w:code="9"/>
      <w:pgMar w:top="964" w:right="1134" w:bottom="964" w:left="1134"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7D" w:rsidRDefault="00AB3F7D" w:rsidP="006F0CE4">
      <w:r>
        <w:separator/>
      </w:r>
    </w:p>
  </w:endnote>
  <w:endnote w:type="continuationSeparator" w:id="0">
    <w:p w:rsidR="00AB3F7D" w:rsidRDefault="00AB3F7D" w:rsidP="006F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76" w:rsidRPr="0068213D" w:rsidRDefault="00AB3F7D" w:rsidP="00E33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76" w:rsidRPr="0068213D" w:rsidRDefault="00AB3F7D" w:rsidP="00682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7D" w:rsidRDefault="00AB3F7D" w:rsidP="006F0CE4">
      <w:r>
        <w:separator/>
      </w:r>
    </w:p>
  </w:footnote>
  <w:footnote w:type="continuationSeparator" w:id="0">
    <w:p w:rsidR="00AB3F7D" w:rsidRDefault="00AB3F7D" w:rsidP="006F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569570"/>
      <w:docPartObj>
        <w:docPartGallery w:val="Page Numbers (Top of Page)"/>
        <w:docPartUnique/>
      </w:docPartObj>
    </w:sdtPr>
    <w:sdtEndPr>
      <w:rPr>
        <w:noProof/>
      </w:rPr>
    </w:sdtEndPr>
    <w:sdtContent>
      <w:p w:rsidR="006F0CE4" w:rsidRDefault="006F0CE4">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6F0CE4" w:rsidRDefault="006F0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76" w:rsidRPr="0068213D" w:rsidRDefault="00AB3F7D" w:rsidP="006E7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76" w:rsidRPr="0068213D" w:rsidRDefault="00AB3F7D" w:rsidP="00682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077"/>
    <w:multiLevelType w:val="hybridMultilevel"/>
    <w:tmpl w:val="34169F68"/>
    <w:lvl w:ilvl="0" w:tplc="6B2A8E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EE0D0F"/>
    <w:multiLevelType w:val="hybridMultilevel"/>
    <w:tmpl w:val="C50839FC"/>
    <w:lvl w:ilvl="0" w:tplc="BA8C13B6">
      <w:start w:val="1"/>
      <w:numFmt w:val="lowerRoman"/>
      <w:lvlText w:val="%1)"/>
      <w:lvlJc w:val="left"/>
      <w:pPr>
        <w:ind w:left="1080" w:hanging="360"/>
      </w:pPr>
      <w:rPr>
        <w:rFonts w:ascii="Arial" w:hAnsi="Arial"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F1D5084"/>
    <w:multiLevelType w:val="hybridMultilevel"/>
    <w:tmpl w:val="4BA2EF54"/>
    <w:lvl w:ilvl="0" w:tplc="6B2A8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765AF"/>
    <w:multiLevelType w:val="hybridMultilevel"/>
    <w:tmpl w:val="E87A3436"/>
    <w:lvl w:ilvl="0" w:tplc="EE7E091C">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23180BBA"/>
    <w:multiLevelType w:val="multilevel"/>
    <w:tmpl w:val="FEBC18EC"/>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2AEA0614"/>
    <w:multiLevelType w:val="hybridMultilevel"/>
    <w:tmpl w:val="F3B2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E1752B5"/>
    <w:multiLevelType w:val="hybridMultilevel"/>
    <w:tmpl w:val="3DF42656"/>
    <w:lvl w:ilvl="0" w:tplc="A784F374">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FDC49AD"/>
    <w:multiLevelType w:val="hybridMultilevel"/>
    <w:tmpl w:val="763EBAA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5000B9B"/>
    <w:multiLevelType w:val="hybridMultilevel"/>
    <w:tmpl w:val="C50839FC"/>
    <w:lvl w:ilvl="0" w:tplc="BA8C13B6">
      <w:start w:val="1"/>
      <w:numFmt w:val="lowerRoman"/>
      <w:lvlText w:val="%1)"/>
      <w:lvlJc w:val="left"/>
      <w:pPr>
        <w:ind w:left="1080" w:hanging="360"/>
      </w:pPr>
      <w:rPr>
        <w:rFonts w:ascii="Arial" w:hAnsi="Arial"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62E1D9E"/>
    <w:multiLevelType w:val="hybridMultilevel"/>
    <w:tmpl w:val="58F416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6FA2448"/>
    <w:multiLevelType w:val="hybridMultilevel"/>
    <w:tmpl w:val="81C6EBC8"/>
    <w:lvl w:ilvl="0" w:tplc="046AD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47447"/>
    <w:multiLevelType w:val="hybridMultilevel"/>
    <w:tmpl w:val="22A8F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0179AF"/>
    <w:multiLevelType w:val="hybridMultilevel"/>
    <w:tmpl w:val="25B0551C"/>
    <w:lvl w:ilvl="0" w:tplc="E43672E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4D2931"/>
    <w:multiLevelType w:val="hybridMultilevel"/>
    <w:tmpl w:val="EC32BD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5A198A"/>
    <w:multiLevelType w:val="hybridMultilevel"/>
    <w:tmpl w:val="1B98FEE6"/>
    <w:lvl w:ilvl="0" w:tplc="CE1245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AE7F1C"/>
    <w:multiLevelType w:val="hybridMultilevel"/>
    <w:tmpl w:val="8E140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74D4D23"/>
    <w:multiLevelType w:val="hybridMultilevel"/>
    <w:tmpl w:val="C50839FC"/>
    <w:lvl w:ilvl="0" w:tplc="BA8C13B6">
      <w:start w:val="1"/>
      <w:numFmt w:val="lowerRoman"/>
      <w:lvlText w:val="%1)"/>
      <w:lvlJc w:val="left"/>
      <w:pPr>
        <w:ind w:left="1080" w:hanging="360"/>
      </w:pPr>
      <w:rPr>
        <w:rFonts w:ascii="Arial" w:hAnsi="Arial"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8E97A99"/>
    <w:multiLevelType w:val="hybridMultilevel"/>
    <w:tmpl w:val="341C9E38"/>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264D3D"/>
    <w:multiLevelType w:val="hybridMultilevel"/>
    <w:tmpl w:val="D9CE3D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8"/>
  </w:num>
  <w:num w:numId="7">
    <w:abstractNumId w:val="16"/>
  </w:num>
  <w:num w:numId="8">
    <w:abstractNumId w:val="1"/>
  </w:num>
  <w:num w:numId="9">
    <w:abstractNumId w:val="11"/>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E4"/>
    <w:rsid w:val="000D0807"/>
    <w:rsid w:val="000F244F"/>
    <w:rsid w:val="001917A6"/>
    <w:rsid w:val="001A23E5"/>
    <w:rsid w:val="00361601"/>
    <w:rsid w:val="00373FBC"/>
    <w:rsid w:val="0045445F"/>
    <w:rsid w:val="004C5A7B"/>
    <w:rsid w:val="005C05E6"/>
    <w:rsid w:val="006029A5"/>
    <w:rsid w:val="006052A4"/>
    <w:rsid w:val="00625644"/>
    <w:rsid w:val="006E1A7E"/>
    <w:rsid w:val="006F0CE4"/>
    <w:rsid w:val="008B1725"/>
    <w:rsid w:val="009E0768"/>
    <w:rsid w:val="00A67BAF"/>
    <w:rsid w:val="00AB3F7D"/>
    <w:rsid w:val="00B31C75"/>
    <w:rsid w:val="00D66ECA"/>
    <w:rsid w:val="00F33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8A49C-A160-454E-9892-67012C27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0C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6F0CE4"/>
    <w:pPr>
      <w:keepNext/>
      <w:jc w:val="center"/>
      <w:outlineLvl w:val="3"/>
    </w:pPr>
    <w:rPr>
      <w:rFonts w:ascii="Arial" w:hAnsi="Arial" w:cs="Arial"/>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CE4"/>
    <w:pPr>
      <w:tabs>
        <w:tab w:val="center" w:pos="4680"/>
        <w:tab w:val="right" w:pos="9360"/>
      </w:tabs>
    </w:pPr>
  </w:style>
  <w:style w:type="character" w:customStyle="1" w:styleId="HeaderChar">
    <w:name w:val="Header Char"/>
    <w:basedOn w:val="DefaultParagraphFont"/>
    <w:link w:val="Header"/>
    <w:uiPriority w:val="99"/>
    <w:rsid w:val="006F0CE4"/>
    <w:rPr>
      <w:lang w:val="en-GB"/>
    </w:rPr>
  </w:style>
  <w:style w:type="paragraph" w:styleId="Footer">
    <w:name w:val="footer"/>
    <w:basedOn w:val="Normal"/>
    <w:link w:val="FooterChar"/>
    <w:uiPriority w:val="99"/>
    <w:unhideWhenUsed/>
    <w:rsid w:val="006F0CE4"/>
    <w:pPr>
      <w:tabs>
        <w:tab w:val="center" w:pos="4680"/>
        <w:tab w:val="right" w:pos="9360"/>
      </w:tabs>
    </w:pPr>
  </w:style>
  <w:style w:type="character" w:customStyle="1" w:styleId="FooterChar">
    <w:name w:val="Footer Char"/>
    <w:basedOn w:val="DefaultParagraphFont"/>
    <w:link w:val="Footer"/>
    <w:uiPriority w:val="99"/>
    <w:rsid w:val="006F0CE4"/>
    <w:rPr>
      <w:lang w:val="en-GB"/>
    </w:rPr>
  </w:style>
  <w:style w:type="character" w:customStyle="1" w:styleId="Heading4Char">
    <w:name w:val="Heading 4 Char"/>
    <w:basedOn w:val="DefaultParagraphFont"/>
    <w:link w:val="Heading4"/>
    <w:rsid w:val="006F0CE4"/>
    <w:rPr>
      <w:rFonts w:ascii="Arial" w:eastAsia="Times New Roman" w:hAnsi="Arial" w:cs="Arial"/>
      <w:sz w:val="28"/>
      <w:szCs w:val="24"/>
      <w:lang w:val="en-GB"/>
    </w:rPr>
  </w:style>
  <w:style w:type="paragraph" w:customStyle="1" w:styleId="Default">
    <w:name w:val="Default"/>
    <w:rsid w:val="006F0CE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aliases w:val="Paragraphe  revu,Figures,List Paragraph (numbered (a)),References,lp1,lp11,List Paragraph11,Bullet 1,Use Case List Paragraph,Bulletted,Bullet List,FooterText,numbered,Paragraphe de liste1,Bulletr List Paragraph,列出段落,列出段落1,Dot pt,Liste 1"/>
    <w:basedOn w:val="Normal"/>
    <w:link w:val="ListParagraphChar"/>
    <w:uiPriority w:val="34"/>
    <w:qFormat/>
    <w:rsid w:val="006F0CE4"/>
    <w:pPr>
      <w:ind w:left="720"/>
      <w:contextualSpacing/>
    </w:pPr>
  </w:style>
  <w:style w:type="character" w:customStyle="1" w:styleId="ListParagraphChar">
    <w:name w:val="List Paragraph Char"/>
    <w:aliases w:val="Paragraphe  revu Char,Figures Char,List Paragraph (numbered (a)) Char,References Char,lp1 Char,lp11 Char,List Paragraph11 Char,Bullet 1 Char,Use Case List Paragraph Char,Bulletted Char,Bullet List Char,FooterText Char,numbered Char"/>
    <w:link w:val="ListParagraph"/>
    <w:uiPriority w:val="34"/>
    <w:qFormat/>
    <w:locked/>
    <w:rsid w:val="006F0CE4"/>
    <w:rPr>
      <w:rFonts w:ascii="Times New Roman" w:eastAsia="Times New Roman" w:hAnsi="Times New Roman" w:cs="Times New Roman"/>
      <w:sz w:val="24"/>
      <w:szCs w:val="24"/>
    </w:rPr>
  </w:style>
  <w:style w:type="table" w:styleId="TableGrid">
    <w:name w:val="Table Grid"/>
    <w:basedOn w:val="TableNormal"/>
    <w:uiPriority w:val="39"/>
    <w:rsid w:val="006F0CE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0CE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6F0CE4"/>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erBold">
    <w:name w:val="FooterBold"/>
    <w:basedOn w:val="Footer"/>
    <w:uiPriority w:val="29"/>
    <w:semiHidden/>
    <w:rsid w:val="006F0CE4"/>
    <w:pPr>
      <w:tabs>
        <w:tab w:val="clear" w:pos="4680"/>
        <w:tab w:val="clear" w:pos="9360"/>
        <w:tab w:val="center" w:pos="4513"/>
        <w:tab w:val="right" w:pos="9026"/>
      </w:tabs>
      <w:spacing w:before="80"/>
    </w:pPr>
    <w:rPr>
      <w:rFonts w:ascii="Arial" w:eastAsia="Calibri" w:hAnsi="Arial" w:cs="Arial"/>
      <w:b/>
      <w:color w:val="156570"/>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18993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Ahmed</dc:creator>
  <cp:keywords/>
  <dc:description/>
  <cp:lastModifiedBy>Martha Yitayew</cp:lastModifiedBy>
  <cp:revision>2</cp:revision>
  <dcterms:created xsi:type="dcterms:W3CDTF">2019-04-05T16:35:00Z</dcterms:created>
  <dcterms:modified xsi:type="dcterms:W3CDTF">2019-04-05T16:35:00Z</dcterms:modified>
</cp:coreProperties>
</file>