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37"/>
        <w:tblW w:w="10340" w:type="dxa"/>
        <w:tblLayout w:type="fixed"/>
        <w:tblCellMar>
          <w:top w:w="57" w:type="dxa"/>
          <w:left w:w="57" w:type="dxa"/>
          <w:bottom w:w="28" w:type="dxa"/>
          <w:right w:w="57" w:type="dxa"/>
        </w:tblCellMar>
        <w:tblLook w:val="00A0" w:firstRow="1" w:lastRow="0" w:firstColumn="1" w:lastColumn="0" w:noHBand="0" w:noVBand="0"/>
      </w:tblPr>
      <w:tblGrid>
        <w:gridCol w:w="56"/>
        <w:gridCol w:w="1221"/>
        <w:gridCol w:w="57"/>
        <w:gridCol w:w="4060"/>
        <w:gridCol w:w="57"/>
        <w:gridCol w:w="184"/>
        <w:gridCol w:w="303"/>
        <w:gridCol w:w="957"/>
        <w:gridCol w:w="303"/>
        <w:gridCol w:w="2705"/>
        <w:gridCol w:w="303"/>
        <w:gridCol w:w="134"/>
      </w:tblGrid>
      <w:tr w:rsidR="00F05C47" w:rsidRPr="007D0E44" w:rsidTr="00F05C47">
        <w:trPr>
          <w:gridBefore w:val="1"/>
          <w:gridAfter w:val="2"/>
          <w:wBefore w:w="56" w:type="dxa"/>
          <w:wAfter w:w="437" w:type="dxa"/>
          <w:trHeight w:val="565"/>
        </w:trPr>
        <w:tc>
          <w:tcPr>
            <w:tcW w:w="1278" w:type="dxa"/>
            <w:gridSpan w:val="2"/>
            <w:tcBorders>
              <w:bottom w:val="single" w:sz="4" w:space="0" w:color="auto"/>
            </w:tcBorders>
            <w:vAlign w:val="center"/>
          </w:tcPr>
          <w:p w:rsidR="00F05C47" w:rsidRPr="007D0E44" w:rsidRDefault="00F05C47" w:rsidP="00F05C47">
            <w:pPr>
              <w:tabs>
                <w:tab w:val="center" w:pos="4320"/>
                <w:tab w:val="right" w:pos="8640"/>
              </w:tabs>
              <w:spacing w:after="0" w:line="240" w:lineRule="auto"/>
              <w:jc w:val="center"/>
              <w:rPr>
                <w:rFonts w:ascii="Times New Roman" w:eastAsia="Times New Roman" w:hAnsi="Times New Roman" w:cs="Times New Roman"/>
                <w:spacing w:val="4"/>
                <w:w w:val="103"/>
                <w:kern w:val="14"/>
                <w:sz w:val="24"/>
                <w:szCs w:val="24"/>
              </w:rPr>
            </w:pPr>
          </w:p>
        </w:tc>
        <w:tc>
          <w:tcPr>
            <w:tcW w:w="4117" w:type="dxa"/>
            <w:gridSpan w:val="2"/>
            <w:tcBorders>
              <w:bottom w:val="single" w:sz="4" w:space="0" w:color="auto"/>
            </w:tcBorders>
            <w:vAlign w:val="center"/>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spacing w:val="4"/>
                <w:w w:val="103"/>
                <w:kern w:val="14"/>
                <w:sz w:val="24"/>
                <w:szCs w:val="24"/>
              </w:rPr>
            </w:pPr>
            <w:r w:rsidRPr="007D0E44">
              <w:rPr>
                <w:rFonts w:ascii="Times New Roman" w:eastAsia="SimSun" w:hAnsi="Times New Roman" w:cs="Times New Roman"/>
                <w:spacing w:val="4"/>
                <w:w w:val="103"/>
                <w:kern w:val="14"/>
                <w:sz w:val="28"/>
                <w:szCs w:val="24"/>
                <w:lang w:eastAsia="ja-JP"/>
              </w:rPr>
              <w:t xml:space="preserve">Nations </w:t>
            </w:r>
            <w:proofErr w:type="spellStart"/>
            <w:r w:rsidRPr="007D0E44">
              <w:rPr>
                <w:rFonts w:ascii="Times New Roman" w:eastAsia="SimSun" w:hAnsi="Times New Roman" w:cs="Times New Roman"/>
                <w:spacing w:val="4"/>
                <w:w w:val="103"/>
                <w:kern w:val="14"/>
                <w:sz w:val="28"/>
                <w:szCs w:val="24"/>
                <w:lang w:eastAsia="ja-JP"/>
              </w:rPr>
              <w:t>Unies</w:t>
            </w:r>
            <w:proofErr w:type="spellEnd"/>
          </w:p>
        </w:tc>
        <w:tc>
          <w:tcPr>
            <w:tcW w:w="184" w:type="dxa"/>
            <w:tcBorders>
              <w:bottom w:val="single" w:sz="4" w:space="0" w:color="auto"/>
            </w:tcBorders>
            <w:vAlign w:val="center"/>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spacing w:val="4"/>
                <w:w w:val="103"/>
                <w:kern w:val="14"/>
                <w:sz w:val="28"/>
                <w:szCs w:val="28"/>
              </w:rPr>
            </w:pPr>
          </w:p>
        </w:tc>
        <w:tc>
          <w:tcPr>
            <w:tcW w:w="4268" w:type="dxa"/>
            <w:gridSpan w:val="4"/>
            <w:tcBorders>
              <w:bottom w:val="single" w:sz="4" w:space="0" w:color="auto"/>
            </w:tcBorders>
            <w:vAlign w:val="center"/>
          </w:tcPr>
          <w:p w:rsidR="00F05C47" w:rsidRPr="007D0E44" w:rsidRDefault="00F05C47" w:rsidP="00F05C47">
            <w:pPr>
              <w:tabs>
                <w:tab w:val="center" w:pos="4320"/>
                <w:tab w:val="right" w:pos="8640"/>
              </w:tabs>
              <w:spacing w:after="0" w:line="240" w:lineRule="auto"/>
              <w:ind w:left="175"/>
              <w:rPr>
                <w:rFonts w:ascii="Times New Roman" w:eastAsia="Times New Roman" w:hAnsi="Times New Roman" w:cs="Times New Roman"/>
                <w:spacing w:val="4"/>
                <w:w w:val="103"/>
                <w:kern w:val="14"/>
                <w:sz w:val="28"/>
                <w:szCs w:val="28"/>
              </w:rPr>
            </w:pPr>
            <w:r w:rsidRPr="007D0E44">
              <w:rPr>
                <w:rFonts w:ascii="Times New Roman" w:eastAsia="SimSun" w:hAnsi="Times New Roman" w:cs="Times New Roman"/>
                <w:spacing w:val="4"/>
                <w:w w:val="103"/>
                <w:kern w:val="14"/>
                <w:sz w:val="28"/>
                <w:szCs w:val="24"/>
                <w:lang w:eastAsia="ja-JP"/>
              </w:rPr>
              <w:t xml:space="preserve">Union </w:t>
            </w:r>
            <w:proofErr w:type="spellStart"/>
            <w:r w:rsidRPr="007D0E44">
              <w:rPr>
                <w:rFonts w:ascii="Times New Roman" w:eastAsia="SimSun" w:hAnsi="Times New Roman" w:cs="Times New Roman"/>
                <w:spacing w:val="4"/>
                <w:w w:val="103"/>
                <w:kern w:val="14"/>
                <w:sz w:val="28"/>
                <w:szCs w:val="24"/>
                <w:lang w:eastAsia="ja-JP"/>
              </w:rPr>
              <w:t>africaine</w:t>
            </w:r>
            <w:proofErr w:type="spellEnd"/>
          </w:p>
        </w:tc>
      </w:tr>
      <w:tr w:rsidR="00F05C47" w:rsidRPr="007D0E44" w:rsidTr="00F05C47">
        <w:trPr>
          <w:gridBefore w:val="1"/>
          <w:gridAfter w:val="2"/>
          <w:wBefore w:w="56" w:type="dxa"/>
          <w:wAfter w:w="437" w:type="dxa"/>
          <w:trHeight w:val="989"/>
        </w:trPr>
        <w:tc>
          <w:tcPr>
            <w:tcW w:w="1278" w:type="dxa"/>
            <w:gridSpan w:val="2"/>
            <w:tcBorders>
              <w:top w:val="single" w:sz="4" w:space="0" w:color="auto"/>
            </w:tcBorders>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spacing w:val="4"/>
                <w:w w:val="103"/>
                <w:kern w:val="14"/>
                <w:sz w:val="24"/>
                <w:szCs w:val="24"/>
              </w:rPr>
            </w:pPr>
            <w:r w:rsidRPr="007D0E44">
              <w:rPr>
                <w:rFonts w:ascii="Times New Roman" w:eastAsia="SimSun" w:hAnsi="Times New Roman" w:cs="Times New Roman"/>
                <w:noProof/>
                <w:spacing w:val="4"/>
                <w:w w:val="103"/>
                <w:kern w:val="14"/>
                <w:sz w:val="24"/>
                <w:szCs w:val="24"/>
                <w:lang w:val="en-US"/>
              </w:rPr>
              <w:drawing>
                <wp:inline distT="0" distB="0" distL="0" distR="0" wp14:anchorId="5E937F8D" wp14:editId="5B912E78">
                  <wp:extent cx="685800" cy="552450"/>
                  <wp:effectExtent l="19050" t="0" r="0" b="0"/>
                  <wp:docPr id="2"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nlogo"/>
                          <pic:cNvPicPr>
                            <a:picLocks noChangeAspect="1" noChangeArrowheads="1"/>
                          </pic:cNvPicPr>
                        </pic:nvPicPr>
                        <pic:blipFill>
                          <a:blip r:embed="rId8"/>
                          <a:srcRect/>
                          <a:stretch>
                            <a:fillRect/>
                          </a:stretch>
                        </pic:blipFill>
                        <pic:spPr bwMode="auto">
                          <a:xfrm>
                            <a:off x="0" y="0"/>
                            <a:ext cx="685800" cy="552450"/>
                          </a:xfrm>
                          <a:prstGeom prst="rect">
                            <a:avLst/>
                          </a:prstGeom>
                          <a:noFill/>
                          <a:ln w="9525">
                            <a:noFill/>
                            <a:miter lim="800000"/>
                            <a:headEnd/>
                            <a:tailEnd/>
                          </a:ln>
                        </pic:spPr>
                      </pic:pic>
                    </a:graphicData>
                  </a:graphic>
                </wp:inline>
              </w:drawing>
            </w:r>
          </w:p>
        </w:tc>
        <w:tc>
          <w:tcPr>
            <w:tcW w:w="4117" w:type="dxa"/>
            <w:gridSpan w:val="2"/>
            <w:tcBorders>
              <w:top w:val="single" w:sz="4" w:space="0" w:color="auto"/>
            </w:tcBorders>
          </w:tcPr>
          <w:p w:rsidR="00F05C47" w:rsidRPr="007D0E44" w:rsidRDefault="00F05C47" w:rsidP="00F05C47">
            <w:pPr>
              <w:tabs>
                <w:tab w:val="center" w:pos="4320"/>
                <w:tab w:val="right" w:pos="8640"/>
              </w:tabs>
              <w:spacing w:after="0" w:line="240" w:lineRule="auto"/>
              <w:rPr>
                <w:rFonts w:ascii="Times New Roman" w:eastAsia="SimSun" w:hAnsi="Times New Roman" w:cs="Times New Roman"/>
                <w:b/>
                <w:spacing w:val="4"/>
                <w:w w:val="103"/>
                <w:kern w:val="14"/>
                <w:sz w:val="36"/>
                <w:szCs w:val="36"/>
                <w:lang w:eastAsia="ja-JP"/>
              </w:rPr>
            </w:pPr>
            <w:proofErr w:type="spellStart"/>
            <w:r w:rsidRPr="007D0E44">
              <w:rPr>
                <w:rFonts w:ascii="Times New Roman" w:eastAsia="SimSun" w:hAnsi="Times New Roman" w:cs="Times New Roman"/>
                <w:b/>
                <w:spacing w:val="4"/>
                <w:w w:val="103"/>
                <w:kern w:val="14"/>
                <w:sz w:val="36"/>
                <w:szCs w:val="36"/>
                <w:lang w:eastAsia="ja-JP"/>
              </w:rPr>
              <w:t>Conseil</w:t>
            </w:r>
            <w:proofErr w:type="spellEnd"/>
            <w:r w:rsidRPr="007D0E44">
              <w:rPr>
                <w:rFonts w:ascii="Times New Roman" w:eastAsia="SimSun" w:hAnsi="Times New Roman" w:cs="Times New Roman"/>
                <w:b/>
                <w:spacing w:val="4"/>
                <w:w w:val="103"/>
                <w:kern w:val="14"/>
                <w:sz w:val="36"/>
                <w:szCs w:val="36"/>
                <w:lang w:eastAsia="ja-JP"/>
              </w:rPr>
              <w:t xml:space="preserve"> </w:t>
            </w:r>
            <w:proofErr w:type="spellStart"/>
            <w:r w:rsidRPr="007D0E44">
              <w:rPr>
                <w:rFonts w:ascii="Times New Roman" w:eastAsia="SimSun" w:hAnsi="Times New Roman" w:cs="Times New Roman"/>
                <w:b/>
                <w:spacing w:val="4"/>
                <w:w w:val="103"/>
                <w:kern w:val="14"/>
                <w:sz w:val="36"/>
                <w:szCs w:val="36"/>
                <w:lang w:eastAsia="ja-JP"/>
              </w:rPr>
              <w:t>économique</w:t>
            </w:r>
            <w:proofErr w:type="spellEnd"/>
            <w:r w:rsidRPr="007D0E44">
              <w:rPr>
                <w:rFonts w:ascii="Times New Roman" w:eastAsia="SimSun" w:hAnsi="Times New Roman" w:cs="Times New Roman"/>
                <w:b/>
                <w:spacing w:val="4"/>
                <w:w w:val="103"/>
                <w:kern w:val="14"/>
                <w:sz w:val="36"/>
                <w:szCs w:val="36"/>
                <w:lang w:eastAsia="ja-JP"/>
              </w:rPr>
              <w:t xml:space="preserve"> </w:t>
            </w:r>
          </w:p>
          <w:p w:rsidR="00F05C47" w:rsidRPr="007D0E44" w:rsidRDefault="00F05C47" w:rsidP="00F05C47">
            <w:pPr>
              <w:tabs>
                <w:tab w:val="center" w:pos="4320"/>
                <w:tab w:val="right" w:pos="8640"/>
              </w:tabs>
              <w:spacing w:after="0" w:line="240" w:lineRule="auto"/>
              <w:rPr>
                <w:rFonts w:ascii="Times New Roman" w:eastAsia="SimSun" w:hAnsi="Times New Roman" w:cs="Times New Roman"/>
                <w:b/>
                <w:spacing w:val="4"/>
                <w:w w:val="103"/>
                <w:kern w:val="14"/>
                <w:sz w:val="36"/>
                <w:szCs w:val="36"/>
                <w:lang w:eastAsia="ja-JP"/>
              </w:rPr>
            </w:pPr>
            <w:r w:rsidRPr="007D0E44">
              <w:rPr>
                <w:rFonts w:ascii="Times New Roman" w:eastAsia="SimSun" w:hAnsi="Times New Roman" w:cs="Times New Roman"/>
                <w:b/>
                <w:spacing w:val="4"/>
                <w:w w:val="103"/>
                <w:kern w:val="14"/>
                <w:sz w:val="36"/>
                <w:szCs w:val="36"/>
                <w:lang w:eastAsia="ja-JP"/>
              </w:rPr>
              <w:t>et social</w:t>
            </w:r>
          </w:p>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b/>
                <w:spacing w:val="4"/>
                <w:w w:val="103"/>
                <w:kern w:val="14"/>
                <w:sz w:val="24"/>
                <w:szCs w:val="24"/>
              </w:rPr>
            </w:pPr>
          </w:p>
        </w:tc>
        <w:tc>
          <w:tcPr>
            <w:tcW w:w="184" w:type="dxa"/>
            <w:tcBorders>
              <w:top w:val="single" w:sz="4" w:space="0" w:color="auto"/>
            </w:tcBorders>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spacing w:val="4"/>
                <w:w w:val="103"/>
                <w:kern w:val="14"/>
                <w:sz w:val="36"/>
                <w:szCs w:val="36"/>
              </w:rPr>
            </w:pPr>
          </w:p>
        </w:tc>
        <w:tc>
          <w:tcPr>
            <w:tcW w:w="1260" w:type="dxa"/>
            <w:gridSpan w:val="2"/>
            <w:tcBorders>
              <w:top w:val="single" w:sz="4" w:space="0" w:color="auto"/>
            </w:tcBorders>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spacing w:val="4"/>
                <w:w w:val="103"/>
                <w:kern w:val="14"/>
                <w:sz w:val="24"/>
                <w:szCs w:val="24"/>
              </w:rPr>
            </w:pPr>
            <w:r w:rsidRPr="007D0E44">
              <w:rPr>
                <w:rFonts w:ascii="Times New Roman" w:eastAsia="Times New Roman" w:hAnsi="Times New Roman" w:cs="Times New Roman"/>
                <w:noProof/>
                <w:spacing w:val="4"/>
                <w:w w:val="103"/>
                <w:kern w:val="14"/>
                <w:sz w:val="24"/>
                <w:szCs w:val="24"/>
                <w:lang w:val="en-US"/>
              </w:rPr>
              <w:drawing>
                <wp:inline distT="0" distB="0" distL="0" distR="0" wp14:anchorId="6BB0A129" wp14:editId="72238D7D">
                  <wp:extent cx="685800" cy="581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85800" cy="581025"/>
                          </a:xfrm>
                          <a:prstGeom prst="rect">
                            <a:avLst/>
                          </a:prstGeom>
                          <a:noFill/>
                          <a:ln w="9525">
                            <a:noFill/>
                            <a:miter lim="800000"/>
                            <a:headEnd/>
                            <a:tailEnd/>
                          </a:ln>
                        </pic:spPr>
                      </pic:pic>
                    </a:graphicData>
                  </a:graphic>
                </wp:inline>
              </w:drawing>
            </w:r>
          </w:p>
        </w:tc>
        <w:tc>
          <w:tcPr>
            <w:tcW w:w="3008" w:type="dxa"/>
            <w:gridSpan w:val="2"/>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spacing w:val="4"/>
                <w:w w:val="103"/>
                <w:kern w:val="14"/>
                <w:sz w:val="24"/>
                <w:szCs w:val="24"/>
              </w:rPr>
            </w:pPr>
            <w:r w:rsidRPr="007D0E44">
              <w:rPr>
                <w:rFonts w:ascii="Times New Roman" w:eastAsia="SimSun" w:hAnsi="Times New Roman" w:cs="Times New Roman"/>
                <w:b/>
                <w:spacing w:val="4"/>
                <w:w w:val="103"/>
                <w:kern w:val="14"/>
                <w:sz w:val="36"/>
                <w:szCs w:val="36"/>
                <w:lang w:eastAsia="ja-JP"/>
              </w:rPr>
              <w:t xml:space="preserve">Union </w:t>
            </w:r>
            <w:proofErr w:type="spellStart"/>
            <w:r w:rsidRPr="007D0E44">
              <w:rPr>
                <w:rFonts w:ascii="Times New Roman" w:eastAsia="SimSun" w:hAnsi="Times New Roman" w:cs="Times New Roman"/>
                <w:b/>
                <w:spacing w:val="4"/>
                <w:w w:val="103"/>
                <w:kern w:val="14"/>
                <w:sz w:val="36"/>
                <w:szCs w:val="36"/>
                <w:lang w:eastAsia="ja-JP"/>
              </w:rPr>
              <w:t>africaine</w:t>
            </w:r>
            <w:proofErr w:type="spellEnd"/>
          </w:p>
        </w:tc>
      </w:tr>
      <w:tr w:rsidR="00F05C47" w:rsidRPr="007D0E44" w:rsidTr="00F05C47">
        <w:trPr>
          <w:trHeight w:val="1059"/>
        </w:trPr>
        <w:tc>
          <w:tcPr>
            <w:tcW w:w="1277" w:type="dxa"/>
            <w:gridSpan w:val="2"/>
            <w:tcBorders>
              <w:bottom w:val="single" w:sz="12" w:space="0" w:color="auto"/>
            </w:tcBorders>
          </w:tcPr>
          <w:p w:rsidR="00F05C47" w:rsidRPr="007D0E44" w:rsidRDefault="00F05C47" w:rsidP="00F05C47">
            <w:pPr>
              <w:tabs>
                <w:tab w:val="center" w:pos="4320"/>
                <w:tab w:val="right" w:pos="8640"/>
              </w:tabs>
              <w:spacing w:after="0" w:line="240" w:lineRule="auto"/>
              <w:rPr>
                <w:rFonts w:ascii="Times New Roman" w:eastAsia="SimSun" w:hAnsi="Times New Roman" w:cs="Times New Roman"/>
                <w:noProof/>
                <w:spacing w:val="4"/>
                <w:w w:val="103"/>
                <w:kern w:val="14"/>
                <w:sz w:val="24"/>
                <w:szCs w:val="24"/>
              </w:rPr>
            </w:pPr>
          </w:p>
        </w:tc>
        <w:tc>
          <w:tcPr>
            <w:tcW w:w="4117" w:type="dxa"/>
            <w:gridSpan w:val="2"/>
            <w:tcBorders>
              <w:bottom w:val="single" w:sz="12" w:space="0" w:color="auto"/>
            </w:tcBorders>
          </w:tcPr>
          <w:p w:rsidR="00F05C47" w:rsidRPr="007D0E44" w:rsidRDefault="00F05C47" w:rsidP="00F05C47">
            <w:pPr>
              <w:tabs>
                <w:tab w:val="center" w:pos="4320"/>
                <w:tab w:val="right" w:pos="8640"/>
              </w:tabs>
              <w:spacing w:after="0" w:line="240" w:lineRule="auto"/>
              <w:rPr>
                <w:rFonts w:ascii="Times New Roman" w:eastAsia="SimSun" w:hAnsi="Times New Roman" w:cs="Times New Roman"/>
                <w:b/>
                <w:spacing w:val="4"/>
                <w:w w:val="103"/>
                <w:kern w:val="14"/>
                <w:sz w:val="40"/>
                <w:szCs w:val="40"/>
                <w:lang w:eastAsia="ja-JP"/>
              </w:rPr>
            </w:pPr>
          </w:p>
        </w:tc>
        <w:tc>
          <w:tcPr>
            <w:tcW w:w="544" w:type="dxa"/>
            <w:gridSpan w:val="3"/>
            <w:tcBorders>
              <w:bottom w:val="single" w:sz="12" w:space="0" w:color="auto"/>
            </w:tcBorders>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noProof/>
                <w:spacing w:val="4"/>
                <w:w w:val="103"/>
                <w:kern w:val="14"/>
                <w:sz w:val="24"/>
                <w:szCs w:val="24"/>
              </w:rPr>
            </w:pPr>
          </w:p>
        </w:tc>
        <w:tc>
          <w:tcPr>
            <w:tcW w:w="1260" w:type="dxa"/>
            <w:gridSpan w:val="2"/>
            <w:tcBorders>
              <w:bottom w:val="single" w:sz="12" w:space="0" w:color="auto"/>
            </w:tcBorders>
          </w:tcPr>
          <w:p w:rsidR="00F05C47" w:rsidRPr="007D0E44" w:rsidRDefault="00F05C47" w:rsidP="00F05C47">
            <w:pPr>
              <w:tabs>
                <w:tab w:val="center" w:pos="4320"/>
                <w:tab w:val="right" w:pos="8640"/>
              </w:tabs>
              <w:spacing w:after="0" w:line="240" w:lineRule="auto"/>
              <w:rPr>
                <w:rFonts w:ascii="Times New Roman" w:eastAsia="Times New Roman" w:hAnsi="Times New Roman" w:cs="Times New Roman"/>
                <w:noProof/>
                <w:spacing w:val="4"/>
                <w:w w:val="103"/>
                <w:kern w:val="14"/>
                <w:sz w:val="24"/>
                <w:szCs w:val="24"/>
              </w:rPr>
            </w:pPr>
          </w:p>
        </w:tc>
        <w:tc>
          <w:tcPr>
            <w:tcW w:w="3142" w:type="dxa"/>
            <w:gridSpan w:val="3"/>
            <w:tcBorders>
              <w:bottom w:val="single" w:sz="12" w:space="0" w:color="auto"/>
            </w:tcBorders>
          </w:tcPr>
          <w:p w:rsidR="00F05C47" w:rsidRPr="00F05C47" w:rsidRDefault="00F05C47" w:rsidP="00F05C47">
            <w:pPr>
              <w:widowControl w:val="0"/>
              <w:autoSpaceDE w:val="0"/>
              <w:autoSpaceDN w:val="0"/>
              <w:adjustRightInd w:val="0"/>
              <w:spacing w:after="0" w:line="240" w:lineRule="auto"/>
              <w:ind w:left="114"/>
              <w:rPr>
                <w:rFonts w:ascii="Times New Roman" w:eastAsia="SimSun" w:hAnsi="Times New Roman" w:cs="Times New Roman"/>
                <w:spacing w:val="4"/>
                <w:w w:val="103"/>
                <w:kern w:val="14"/>
                <w:sz w:val="20"/>
                <w:szCs w:val="20"/>
                <w:lang w:val="fr-FR" w:eastAsia="ja-JP"/>
              </w:rPr>
            </w:pPr>
            <w:r w:rsidRPr="00F05C47">
              <w:rPr>
                <w:rFonts w:ascii="Times New Roman" w:eastAsia="SimSun" w:hAnsi="Times New Roman" w:cs="Times New Roman"/>
                <w:spacing w:val="4"/>
                <w:w w:val="103"/>
                <w:kern w:val="14"/>
                <w:sz w:val="20"/>
                <w:szCs w:val="20"/>
                <w:lang w:val="fr-FR" w:eastAsia="ja-JP"/>
              </w:rPr>
              <w:t>E/ECA/COE/36/12</w:t>
            </w:r>
          </w:p>
          <w:p w:rsidR="00F05C47" w:rsidRPr="00F05C47" w:rsidRDefault="00F05C47" w:rsidP="00F05C47">
            <w:pPr>
              <w:widowControl w:val="0"/>
              <w:autoSpaceDE w:val="0"/>
              <w:autoSpaceDN w:val="0"/>
              <w:adjustRightInd w:val="0"/>
              <w:spacing w:after="0" w:line="240" w:lineRule="auto"/>
              <w:ind w:left="114"/>
              <w:rPr>
                <w:rFonts w:ascii="Times New Roman" w:eastAsia="SimSun" w:hAnsi="Times New Roman" w:cs="Times New Roman"/>
                <w:spacing w:val="4"/>
                <w:w w:val="103"/>
                <w:kern w:val="14"/>
                <w:sz w:val="20"/>
                <w:szCs w:val="20"/>
                <w:lang w:val="fr-FR" w:eastAsia="ja-JP"/>
              </w:rPr>
            </w:pPr>
            <w:r w:rsidRPr="00F05C47">
              <w:rPr>
                <w:rFonts w:ascii="Times New Roman" w:eastAsia="SimSun" w:hAnsi="Times New Roman" w:cs="Times New Roman"/>
                <w:spacing w:val="4"/>
                <w:w w:val="103"/>
                <w:kern w:val="14"/>
                <w:sz w:val="20"/>
                <w:szCs w:val="20"/>
                <w:lang w:val="fr-FR" w:eastAsia="ja-JP"/>
              </w:rPr>
              <w:t>AU/STC/FMEPI/EXP/12(III)</w:t>
            </w:r>
          </w:p>
          <w:p w:rsidR="00F05C47" w:rsidRPr="007D0E44" w:rsidRDefault="00F05C47" w:rsidP="00F05C47">
            <w:pPr>
              <w:widowControl w:val="0"/>
              <w:autoSpaceDE w:val="0"/>
              <w:autoSpaceDN w:val="0"/>
              <w:adjustRightInd w:val="0"/>
              <w:spacing w:after="0" w:line="240" w:lineRule="auto"/>
              <w:ind w:left="114"/>
              <w:rPr>
                <w:rFonts w:ascii="Times New Roman" w:eastAsia="SimSun" w:hAnsi="Times New Roman" w:cs="Times New Roman"/>
                <w:spacing w:val="4"/>
                <w:w w:val="103"/>
                <w:kern w:val="14"/>
                <w:sz w:val="20"/>
                <w:szCs w:val="20"/>
                <w:lang w:eastAsia="ja-JP"/>
              </w:rPr>
            </w:pPr>
            <w:r w:rsidRPr="007D0E44">
              <w:rPr>
                <w:rFonts w:ascii="Times New Roman" w:eastAsia="SimSun" w:hAnsi="Times New Roman" w:cs="Times New Roman"/>
                <w:spacing w:val="4"/>
                <w:w w:val="103"/>
                <w:kern w:val="14"/>
                <w:sz w:val="20"/>
                <w:szCs w:val="20"/>
                <w:lang w:eastAsia="ja-JP"/>
              </w:rPr>
              <w:t>Distr. </w:t>
            </w:r>
            <w:proofErr w:type="spellStart"/>
            <w:r w:rsidRPr="007D0E44">
              <w:rPr>
                <w:rFonts w:ascii="Times New Roman" w:eastAsia="SimSun" w:hAnsi="Times New Roman" w:cs="Times New Roman"/>
                <w:spacing w:val="4"/>
                <w:w w:val="103"/>
                <w:kern w:val="14"/>
                <w:sz w:val="20"/>
                <w:szCs w:val="20"/>
                <w:lang w:eastAsia="ja-JP"/>
              </w:rPr>
              <w:t>générale</w:t>
            </w:r>
            <w:proofErr w:type="spellEnd"/>
          </w:p>
          <w:p w:rsidR="00F05C47" w:rsidRPr="007D0E44" w:rsidRDefault="00F05C47" w:rsidP="00F05C47">
            <w:pPr>
              <w:widowControl w:val="0"/>
              <w:autoSpaceDE w:val="0"/>
              <w:autoSpaceDN w:val="0"/>
              <w:adjustRightInd w:val="0"/>
              <w:spacing w:after="120" w:line="240" w:lineRule="atLeast"/>
              <w:ind w:left="114"/>
              <w:rPr>
                <w:rFonts w:ascii="Times New Roman" w:eastAsia="SimSun" w:hAnsi="Times New Roman" w:cs="Times New Roman"/>
                <w:spacing w:val="4"/>
                <w:w w:val="103"/>
                <w:kern w:val="14"/>
                <w:sz w:val="20"/>
                <w:szCs w:val="20"/>
                <w:lang w:eastAsia="ja-JP"/>
              </w:rPr>
            </w:pPr>
            <w:r w:rsidRPr="007D0E44">
              <w:rPr>
                <w:rFonts w:ascii="Times New Roman" w:eastAsia="SimSun" w:hAnsi="Times New Roman" w:cs="Times New Roman"/>
                <w:spacing w:val="4"/>
                <w:w w:val="103"/>
                <w:kern w:val="14"/>
                <w:sz w:val="20"/>
                <w:szCs w:val="20"/>
                <w:lang w:eastAsia="ja-JP"/>
              </w:rPr>
              <w:t>10 </w:t>
            </w:r>
            <w:proofErr w:type="spellStart"/>
            <w:r w:rsidRPr="007D0E44">
              <w:rPr>
                <w:rFonts w:ascii="Times New Roman" w:eastAsia="SimSun" w:hAnsi="Times New Roman" w:cs="Times New Roman"/>
                <w:spacing w:val="4"/>
                <w:w w:val="103"/>
                <w:kern w:val="14"/>
                <w:sz w:val="20"/>
                <w:szCs w:val="20"/>
                <w:lang w:eastAsia="ja-JP"/>
              </w:rPr>
              <w:t>février</w:t>
            </w:r>
            <w:proofErr w:type="spellEnd"/>
            <w:r w:rsidRPr="007D0E44">
              <w:rPr>
                <w:rFonts w:ascii="Times New Roman" w:eastAsia="SimSun" w:hAnsi="Times New Roman" w:cs="Times New Roman"/>
                <w:spacing w:val="4"/>
                <w:w w:val="103"/>
                <w:kern w:val="14"/>
                <w:sz w:val="20"/>
                <w:szCs w:val="20"/>
                <w:lang w:eastAsia="ja-JP"/>
              </w:rPr>
              <w:t xml:space="preserve"> 2017</w:t>
            </w:r>
          </w:p>
          <w:p w:rsidR="00F05C47" w:rsidRPr="007D0E44" w:rsidRDefault="00F05C47" w:rsidP="00F05C47">
            <w:pPr>
              <w:tabs>
                <w:tab w:val="center" w:pos="4320"/>
                <w:tab w:val="right" w:pos="8640"/>
              </w:tabs>
              <w:spacing w:after="120" w:line="240" w:lineRule="auto"/>
              <w:ind w:left="113"/>
              <w:rPr>
                <w:rFonts w:ascii="Times New Roman" w:eastAsia="SimSun" w:hAnsi="Times New Roman" w:cs="Times New Roman"/>
                <w:spacing w:val="4"/>
                <w:w w:val="103"/>
                <w:kern w:val="14"/>
                <w:sz w:val="20"/>
                <w:szCs w:val="20"/>
                <w:lang w:eastAsia="ja-JP"/>
              </w:rPr>
            </w:pPr>
            <w:r w:rsidRPr="007D0E44" w:rsidDel="00BD126A">
              <w:rPr>
                <w:rFonts w:ascii="Times New Roman" w:eastAsia="Times New Roman" w:hAnsi="Times New Roman" w:cs="Times New Roman"/>
                <w:noProof/>
                <w:spacing w:val="4"/>
                <w:w w:val="103"/>
                <w:kern w:val="14"/>
                <w:sz w:val="20"/>
                <w:szCs w:val="20"/>
              </w:rPr>
              <w:t xml:space="preserve"> </w:t>
            </w:r>
          </w:p>
        </w:tc>
      </w:tr>
      <w:tr w:rsidR="00F05C47" w:rsidRPr="00F05C47" w:rsidTr="00F05C47">
        <w:trPr>
          <w:gridBefore w:val="1"/>
          <w:gridAfter w:val="1"/>
          <w:wBefore w:w="56" w:type="dxa"/>
          <w:wAfter w:w="134" w:type="dxa"/>
          <w:trHeight w:val="567"/>
        </w:trPr>
        <w:tc>
          <w:tcPr>
            <w:tcW w:w="5395" w:type="dxa"/>
            <w:gridSpan w:val="4"/>
            <w:tcBorders>
              <w:top w:val="single" w:sz="12" w:space="0" w:color="auto"/>
            </w:tcBorders>
          </w:tcPr>
          <w:p w:rsidR="00F05C47" w:rsidRPr="00F05C47" w:rsidRDefault="00F05C47" w:rsidP="00F05C47">
            <w:pPr>
              <w:widowControl w:val="0"/>
              <w:autoSpaceDE w:val="0"/>
              <w:autoSpaceDN w:val="0"/>
              <w:adjustRightInd w:val="0"/>
              <w:spacing w:after="0" w:line="240" w:lineRule="auto"/>
              <w:jc w:val="both"/>
              <w:rPr>
                <w:rFonts w:ascii="Times New Roman" w:eastAsia="Times New Roman" w:hAnsi="Times New Roman" w:cs="Times New Roman"/>
                <w:b/>
                <w:spacing w:val="4"/>
                <w:w w:val="103"/>
                <w:kern w:val="14"/>
                <w:sz w:val="20"/>
                <w:szCs w:val="20"/>
                <w:lang w:val="fr-FR" w:eastAsia="zh-CN"/>
              </w:rPr>
            </w:pPr>
            <w:r w:rsidRPr="00F05C47">
              <w:rPr>
                <w:rFonts w:ascii="Times New Roman" w:eastAsia="Times New Roman" w:hAnsi="Times New Roman" w:cs="Times New Roman"/>
                <w:b/>
                <w:spacing w:val="4"/>
                <w:w w:val="103"/>
                <w:kern w:val="14"/>
                <w:sz w:val="20"/>
                <w:szCs w:val="20"/>
                <w:lang w:val="fr-FR" w:eastAsia="zh-CN"/>
              </w:rPr>
              <w:t>Commission économique pour l’Afrique</w:t>
            </w:r>
          </w:p>
          <w:p w:rsidR="00F05C47" w:rsidRPr="00F05C47" w:rsidRDefault="00F05C47" w:rsidP="00F05C47">
            <w:pPr>
              <w:widowControl w:val="0"/>
              <w:autoSpaceDE w:val="0"/>
              <w:autoSpaceDN w:val="0"/>
              <w:adjustRightInd w:val="0"/>
              <w:spacing w:after="0" w:line="240" w:lineRule="auto"/>
              <w:jc w:val="both"/>
              <w:rPr>
                <w:rFonts w:ascii="Times New Roman" w:eastAsia="Times New Roman" w:hAnsi="Times New Roman" w:cs="Times New Roman"/>
                <w:b/>
                <w:spacing w:val="4"/>
                <w:w w:val="103"/>
                <w:kern w:val="14"/>
                <w:sz w:val="20"/>
                <w:szCs w:val="20"/>
                <w:lang w:val="fr-FR" w:eastAsia="zh-CN"/>
              </w:rPr>
            </w:pPr>
            <w:r w:rsidRPr="00F05C47">
              <w:rPr>
                <w:rFonts w:ascii="Times New Roman" w:eastAsia="Times New Roman" w:hAnsi="Times New Roman" w:cs="Times New Roman"/>
                <w:b/>
                <w:spacing w:val="4"/>
                <w:w w:val="103"/>
                <w:kern w:val="14"/>
                <w:sz w:val="20"/>
                <w:szCs w:val="20"/>
                <w:lang w:val="fr-FR" w:eastAsia="zh-CN"/>
              </w:rPr>
              <w:t>Comité d’experts</w:t>
            </w:r>
          </w:p>
          <w:p w:rsidR="00F05C47" w:rsidRPr="007D0E44" w:rsidRDefault="00F05C47" w:rsidP="00F05C47">
            <w:pPr>
              <w:widowControl w:val="0"/>
              <w:autoSpaceDE w:val="0"/>
              <w:autoSpaceDN w:val="0"/>
              <w:adjustRightInd w:val="0"/>
              <w:spacing w:after="0" w:line="240" w:lineRule="auto"/>
              <w:jc w:val="both"/>
              <w:rPr>
                <w:rFonts w:ascii="Times New Roman" w:eastAsia="Times New Roman" w:hAnsi="Times New Roman" w:cs="Times New Roman"/>
                <w:spacing w:val="4"/>
                <w:w w:val="103"/>
                <w:kern w:val="14"/>
                <w:sz w:val="20"/>
                <w:szCs w:val="20"/>
                <w:lang w:eastAsia="zh-CN"/>
              </w:rPr>
            </w:pPr>
            <w:proofErr w:type="spellStart"/>
            <w:r w:rsidRPr="007D0E44">
              <w:rPr>
                <w:rFonts w:ascii="Times New Roman" w:eastAsia="Times New Roman" w:hAnsi="Times New Roman" w:cs="Times New Roman"/>
                <w:spacing w:val="4"/>
                <w:w w:val="103"/>
                <w:kern w:val="14"/>
                <w:sz w:val="20"/>
                <w:szCs w:val="20"/>
                <w:lang w:eastAsia="zh-CN"/>
              </w:rPr>
              <w:t>Trente-sixième</w:t>
            </w:r>
            <w:proofErr w:type="spellEnd"/>
            <w:r w:rsidRPr="007D0E44">
              <w:rPr>
                <w:rFonts w:ascii="Times New Roman" w:eastAsia="Times New Roman" w:hAnsi="Times New Roman" w:cs="Times New Roman"/>
                <w:spacing w:val="4"/>
                <w:w w:val="103"/>
                <w:kern w:val="14"/>
                <w:sz w:val="20"/>
                <w:szCs w:val="20"/>
                <w:lang w:eastAsia="zh-CN"/>
              </w:rPr>
              <w:t xml:space="preserve"> </w:t>
            </w:r>
            <w:proofErr w:type="spellStart"/>
            <w:r w:rsidRPr="007D0E44">
              <w:rPr>
                <w:rFonts w:ascii="Times New Roman" w:eastAsia="Times New Roman" w:hAnsi="Times New Roman" w:cs="Times New Roman"/>
                <w:spacing w:val="4"/>
                <w:w w:val="103"/>
                <w:kern w:val="14"/>
                <w:sz w:val="20"/>
                <w:szCs w:val="20"/>
                <w:lang w:eastAsia="zh-CN"/>
              </w:rPr>
              <w:t>réunion</w:t>
            </w:r>
            <w:proofErr w:type="spellEnd"/>
          </w:p>
        </w:tc>
        <w:tc>
          <w:tcPr>
            <w:tcW w:w="184" w:type="dxa"/>
            <w:tcBorders>
              <w:top w:val="single" w:sz="12" w:space="0" w:color="auto"/>
            </w:tcBorders>
          </w:tcPr>
          <w:p w:rsidR="00F05C47" w:rsidRPr="007D0E44" w:rsidRDefault="00F05C47" w:rsidP="00F05C47">
            <w:pPr>
              <w:widowControl w:val="0"/>
              <w:autoSpaceDE w:val="0"/>
              <w:autoSpaceDN w:val="0"/>
              <w:adjustRightInd w:val="0"/>
              <w:spacing w:after="0" w:line="240" w:lineRule="auto"/>
              <w:ind w:left="13"/>
              <w:rPr>
                <w:rFonts w:ascii="Times New Roman" w:eastAsia="Times New Roman" w:hAnsi="Times New Roman" w:cs="Times New Roman"/>
                <w:b/>
                <w:spacing w:val="4"/>
                <w:w w:val="103"/>
                <w:kern w:val="14"/>
                <w:sz w:val="20"/>
                <w:szCs w:val="20"/>
                <w:lang w:eastAsia="zh-CN"/>
              </w:rPr>
            </w:pPr>
          </w:p>
        </w:tc>
        <w:tc>
          <w:tcPr>
            <w:tcW w:w="4571" w:type="dxa"/>
            <w:gridSpan w:val="5"/>
            <w:tcBorders>
              <w:top w:val="single" w:sz="12" w:space="0" w:color="auto"/>
            </w:tcBorders>
          </w:tcPr>
          <w:p w:rsidR="00F05C47" w:rsidRPr="00F05C47" w:rsidRDefault="00F05C47" w:rsidP="00F05C47">
            <w:pPr>
              <w:widowControl w:val="0"/>
              <w:autoSpaceDE w:val="0"/>
              <w:autoSpaceDN w:val="0"/>
              <w:adjustRightInd w:val="0"/>
              <w:spacing w:after="0" w:line="240" w:lineRule="auto"/>
              <w:ind w:left="13"/>
              <w:rPr>
                <w:rFonts w:ascii="Times New Roman" w:eastAsia="Times New Roman" w:hAnsi="Times New Roman" w:cs="Times New Roman"/>
                <w:b/>
                <w:spacing w:val="4"/>
                <w:w w:val="103"/>
                <w:kern w:val="14"/>
                <w:sz w:val="20"/>
                <w:szCs w:val="20"/>
                <w:lang w:val="fr-FR" w:eastAsia="zh-CN"/>
              </w:rPr>
            </w:pPr>
            <w:r w:rsidRPr="00F05C47">
              <w:rPr>
                <w:rFonts w:ascii="Times New Roman" w:eastAsia="Times New Roman" w:hAnsi="Times New Roman" w:cs="Times New Roman"/>
                <w:b/>
                <w:spacing w:val="4"/>
                <w:w w:val="103"/>
                <w:kern w:val="14"/>
                <w:sz w:val="20"/>
                <w:szCs w:val="20"/>
                <w:lang w:val="fr-FR" w:eastAsia="zh-CN"/>
              </w:rPr>
              <w:t>Union africaine</w:t>
            </w:r>
          </w:p>
          <w:p w:rsidR="00F05C47" w:rsidRPr="00F05C47" w:rsidRDefault="00F05C47" w:rsidP="00F05C47">
            <w:pPr>
              <w:widowControl w:val="0"/>
              <w:autoSpaceDE w:val="0"/>
              <w:autoSpaceDN w:val="0"/>
              <w:adjustRightInd w:val="0"/>
              <w:spacing w:after="0" w:line="240" w:lineRule="auto"/>
              <w:ind w:left="13"/>
              <w:rPr>
                <w:rFonts w:ascii="Times New Roman" w:eastAsia="Times New Roman" w:hAnsi="Times New Roman" w:cs="Times New Roman"/>
                <w:b/>
                <w:spacing w:val="4"/>
                <w:w w:val="103"/>
                <w:kern w:val="14"/>
                <w:sz w:val="20"/>
                <w:szCs w:val="20"/>
                <w:lang w:val="fr-FR" w:eastAsia="zh-CN"/>
              </w:rPr>
            </w:pPr>
            <w:r w:rsidRPr="00F05C47">
              <w:rPr>
                <w:rFonts w:ascii="Times New Roman" w:eastAsia="Times New Roman" w:hAnsi="Times New Roman" w:cs="Times New Roman"/>
                <w:b/>
                <w:spacing w:val="4"/>
                <w:w w:val="103"/>
                <w:kern w:val="14"/>
                <w:sz w:val="20"/>
                <w:szCs w:val="20"/>
                <w:lang w:val="fr-FR" w:eastAsia="zh-CN"/>
              </w:rPr>
              <w:t>Comité d’experts</w:t>
            </w:r>
          </w:p>
          <w:p w:rsidR="00F05C47" w:rsidRPr="00F05C47" w:rsidRDefault="00F05C47" w:rsidP="00F05C47">
            <w:pPr>
              <w:widowControl w:val="0"/>
              <w:autoSpaceDE w:val="0"/>
              <w:autoSpaceDN w:val="0"/>
              <w:adjustRightInd w:val="0"/>
              <w:spacing w:after="0" w:line="240" w:lineRule="auto"/>
              <w:ind w:left="13"/>
              <w:rPr>
                <w:rFonts w:ascii="Times New Roman" w:eastAsia="Times New Roman" w:hAnsi="Times New Roman" w:cs="Times New Roman"/>
                <w:spacing w:val="4"/>
                <w:w w:val="103"/>
                <w:kern w:val="14"/>
                <w:sz w:val="20"/>
                <w:szCs w:val="20"/>
                <w:lang w:val="fr-FR"/>
              </w:rPr>
            </w:pPr>
            <w:r w:rsidRPr="00F05C47">
              <w:rPr>
                <w:rFonts w:ascii="Times New Roman" w:eastAsia="Times New Roman" w:hAnsi="Times New Roman" w:cs="Times New Roman"/>
                <w:spacing w:val="4"/>
                <w:w w:val="103"/>
                <w:kern w:val="14"/>
                <w:sz w:val="20"/>
                <w:szCs w:val="20"/>
                <w:lang w:val="fr-FR" w:eastAsia="zh-CN"/>
              </w:rPr>
              <w:t>Troisième réunion</w:t>
            </w:r>
          </w:p>
        </w:tc>
      </w:tr>
      <w:tr w:rsidR="00F05C47" w:rsidRPr="00F05C47" w:rsidTr="00F05C47">
        <w:trPr>
          <w:gridAfter w:val="1"/>
          <w:wAfter w:w="134" w:type="dxa"/>
        </w:trPr>
        <w:tc>
          <w:tcPr>
            <w:tcW w:w="5394" w:type="dxa"/>
            <w:gridSpan w:val="4"/>
          </w:tcPr>
          <w:p w:rsidR="00F05C47" w:rsidRPr="00F05C47" w:rsidRDefault="00F05C47" w:rsidP="00F05C47">
            <w:pPr>
              <w:widowControl w:val="0"/>
              <w:autoSpaceDE w:val="0"/>
              <w:autoSpaceDN w:val="0"/>
              <w:adjustRightInd w:val="0"/>
              <w:spacing w:after="0" w:line="240" w:lineRule="auto"/>
              <w:rPr>
                <w:rFonts w:ascii="Times New Roman" w:eastAsia="SimSun" w:hAnsi="Times New Roman" w:cs="Times New Roman"/>
                <w:b/>
                <w:bCs/>
                <w:spacing w:val="4"/>
                <w:w w:val="103"/>
                <w:kern w:val="14"/>
                <w:sz w:val="20"/>
                <w:szCs w:val="20"/>
                <w:lang w:val="fr-FR" w:eastAsia="zh-CN"/>
              </w:rPr>
            </w:pPr>
          </w:p>
          <w:p w:rsidR="00F05C47" w:rsidRPr="00F05C47" w:rsidRDefault="00F05C47" w:rsidP="00F05C47">
            <w:pPr>
              <w:widowControl w:val="0"/>
              <w:autoSpaceDE w:val="0"/>
              <w:autoSpaceDN w:val="0"/>
              <w:adjustRightInd w:val="0"/>
              <w:spacing w:after="0" w:line="240" w:lineRule="auto"/>
              <w:rPr>
                <w:rFonts w:ascii="Times New Roman" w:eastAsia="SimSun" w:hAnsi="Times New Roman" w:cs="Times New Roman"/>
                <w:b/>
                <w:bCs/>
                <w:spacing w:val="4"/>
                <w:w w:val="103"/>
                <w:kern w:val="14"/>
                <w:sz w:val="20"/>
                <w:szCs w:val="20"/>
                <w:lang w:val="fr-FR" w:eastAsia="zh-CN"/>
              </w:rPr>
            </w:pPr>
            <w:r w:rsidRPr="00F05C47">
              <w:rPr>
                <w:rFonts w:ascii="Times New Roman" w:eastAsia="SimSun" w:hAnsi="Times New Roman" w:cs="Times New Roman"/>
                <w:b/>
                <w:bCs/>
                <w:spacing w:val="4"/>
                <w:w w:val="103"/>
                <w:kern w:val="14"/>
                <w:sz w:val="20"/>
                <w:szCs w:val="20"/>
                <w:lang w:val="fr-FR" w:eastAsia="zh-CN"/>
              </w:rPr>
              <w:t>Dixième Réunion annuelle conjointe du Comité technique spécialisé de l’Union africaine sur les finances, les affaires monétaires, la planification économique et l’intégration et de la Conférence des ministres africains des finances, de la planification et du développement économique de la Commission économique pour l’Afrique</w:t>
            </w:r>
          </w:p>
          <w:p w:rsidR="00F05C47" w:rsidRPr="00F05C47" w:rsidRDefault="00F05C47" w:rsidP="00F05C47">
            <w:pPr>
              <w:spacing w:after="0" w:line="240" w:lineRule="auto"/>
              <w:rPr>
                <w:rFonts w:ascii="Times New Roman" w:eastAsia="Times New Roman" w:hAnsi="Times New Roman" w:cs="Times New Roman"/>
                <w:b/>
                <w:bCs/>
                <w:spacing w:val="4"/>
                <w:w w:val="103"/>
                <w:kern w:val="14"/>
                <w:sz w:val="20"/>
                <w:szCs w:val="20"/>
                <w:lang w:val="fr-FR"/>
              </w:rPr>
            </w:pPr>
          </w:p>
          <w:p w:rsidR="00F05C47" w:rsidRPr="00F05C47" w:rsidRDefault="00F05C47" w:rsidP="00F05C47">
            <w:pPr>
              <w:spacing w:after="0" w:line="240" w:lineRule="auto"/>
              <w:rPr>
                <w:rFonts w:ascii="Times New Roman" w:eastAsia="Times New Roman" w:hAnsi="Times New Roman" w:cs="Times New Roman"/>
                <w:b/>
                <w:bCs/>
                <w:spacing w:val="4"/>
                <w:w w:val="103"/>
                <w:kern w:val="14"/>
                <w:sz w:val="20"/>
                <w:szCs w:val="20"/>
                <w:lang w:val="fr-FR"/>
              </w:rPr>
            </w:pPr>
            <w:r w:rsidRPr="00F05C47">
              <w:rPr>
                <w:rFonts w:ascii="Times New Roman" w:eastAsia="Times New Roman" w:hAnsi="Times New Roman" w:cs="Times New Roman"/>
                <w:b/>
                <w:bCs/>
                <w:spacing w:val="4"/>
                <w:w w:val="103"/>
                <w:kern w:val="14"/>
                <w:sz w:val="20"/>
                <w:szCs w:val="20"/>
                <w:lang w:val="fr-FR"/>
              </w:rPr>
              <w:t>Réunion des Comités d’experts</w:t>
            </w:r>
          </w:p>
          <w:p w:rsidR="00F05C47" w:rsidRPr="00F05C47" w:rsidRDefault="00F05C47" w:rsidP="00F05C47">
            <w:pPr>
              <w:widowControl w:val="0"/>
              <w:autoSpaceDE w:val="0"/>
              <w:autoSpaceDN w:val="0"/>
              <w:adjustRightInd w:val="0"/>
              <w:spacing w:after="0" w:line="240" w:lineRule="auto"/>
              <w:rPr>
                <w:rFonts w:ascii="Times New Roman" w:eastAsia="Times New Roman" w:hAnsi="Times New Roman" w:cs="Times New Roman"/>
                <w:spacing w:val="4"/>
                <w:w w:val="103"/>
                <w:kern w:val="14"/>
                <w:sz w:val="20"/>
                <w:szCs w:val="20"/>
                <w:lang w:val="fr-FR"/>
              </w:rPr>
            </w:pPr>
            <w:r w:rsidRPr="00F05C47">
              <w:rPr>
                <w:rFonts w:ascii="Times New Roman" w:eastAsia="SimSun" w:hAnsi="Times New Roman" w:cs="Times New Roman"/>
                <w:spacing w:val="4"/>
                <w:w w:val="103"/>
                <w:kern w:val="14"/>
                <w:sz w:val="20"/>
                <w:szCs w:val="20"/>
                <w:lang w:val="fr-FR" w:eastAsia="zh-CN"/>
              </w:rPr>
              <w:t>Dakar, 23-25 mars 2017</w:t>
            </w:r>
          </w:p>
        </w:tc>
        <w:tc>
          <w:tcPr>
            <w:tcW w:w="4812" w:type="dxa"/>
            <w:gridSpan w:val="7"/>
            <w:vAlign w:val="bottom"/>
          </w:tcPr>
          <w:p w:rsidR="00F05C47" w:rsidRPr="00F05C47" w:rsidRDefault="00F05C47" w:rsidP="00F05C47">
            <w:pPr>
              <w:tabs>
                <w:tab w:val="left" w:pos="3053"/>
                <w:tab w:val="center" w:pos="4320"/>
                <w:tab w:val="right" w:pos="8640"/>
              </w:tabs>
              <w:spacing w:after="0" w:line="240" w:lineRule="auto"/>
              <w:ind w:firstLine="3037"/>
              <w:rPr>
                <w:rFonts w:ascii="Times New Roman" w:eastAsia="Times New Roman" w:hAnsi="Times New Roman" w:cs="Times New Roman"/>
                <w:spacing w:val="4"/>
                <w:w w:val="103"/>
                <w:kern w:val="14"/>
                <w:sz w:val="20"/>
                <w:szCs w:val="20"/>
                <w:lang w:val="fr-FR"/>
              </w:rPr>
            </w:pPr>
          </w:p>
        </w:tc>
      </w:tr>
    </w:tbl>
    <w:p w:rsidR="00F05C47" w:rsidRDefault="00F05C47" w:rsidP="00AE2F12">
      <w:pPr>
        <w:spacing w:after="0" w:line="240" w:lineRule="auto"/>
        <w:jc w:val="right"/>
        <w:rPr>
          <w:rFonts w:ascii="Arial" w:hAnsi="Arial" w:cs="Arial"/>
          <w:b/>
          <w:sz w:val="18"/>
          <w:szCs w:val="18"/>
          <w:lang w:val="fr-CI"/>
        </w:rPr>
      </w:pPr>
    </w:p>
    <w:p w:rsidR="00F05C47" w:rsidRDefault="00F05C47" w:rsidP="00AE2F12">
      <w:pPr>
        <w:spacing w:after="0" w:line="240" w:lineRule="auto"/>
        <w:jc w:val="right"/>
        <w:rPr>
          <w:rFonts w:ascii="Arial" w:hAnsi="Arial" w:cs="Arial"/>
          <w:b/>
          <w:sz w:val="18"/>
          <w:szCs w:val="18"/>
          <w:lang w:val="fr-CI"/>
        </w:rPr>
      </w:pPr>
    </w:p>
    <w:p w:rsidR="00F05C47" w:rsidRDefault="00F05C47" w:rsidP="00AE2F12">
      <w:pPr>
        <w:spacing w:after="0" w:line="240" w:lineRule="auto"/>
        <w:jc w:val="right"/>
        <w:rPr>
          <w:rFonts w:ascii="Arial" w:hAnsi="Arial" w:cs="Arial"/>
          <w:b/>
          <w:sz w:val="18"/>
          <w:szCs w:val="18"/>
          <w:lang w:val="fr-CI"/>
        </w:rPr>
      </w:pPr>
    </w:p>
    <w:p w:rsidR="00F05C47" w:rsidRDefault="00F05C47" w:rsidP="00AE2F12">
      <w:pPr>
        <w:spacing w:after="0" w:line="240" w:lineRule="auto"/>
        <w:jc w:val="right"/>
        <w:rPr>
          <w:rFonts w:ascii="Arial" w:hAnsi="Arial" w:cs="Arial"/>
          <w:b/>
          <w:sz w:val="18"/>
          <w:szCs w:val="18"/>
          <w:lang w:val="fr-CI"/>
        </w:rPr>
      </w:pPr>
    </w:p>
    <w:p w:rsidR="00F05C47" w:rsidRDefault="00F05C47" w:rsidP="00AE2F12">
      <w:pPr>
        <w:spacing w:after="0" w:line="240" w:lineRule="auto"/>
        <w:jc w:val="right"/>
        <w:rPr>
          <w:rFonts w:ascii="Arial" w:hAnsi="Arial" w:cs="Arial"/>
          <w:b/>
          <w:sz w:val="18"/>
          <w:szCs w:val="18"/>
          <w:lang w:val="fr-CI"/>
        </w:rPr>
      </w:pPr>
    </w:p>
    <w:p w:rsidR="00F2006F" w:rsidRPr="00AE2F12" w:rsidRDefault="00AE2F12" w:rsidP="00AE2F12">
      <w:pPr>
        <w:spacing w:after="0" w:line="240" w:lineRule="auto"/>
        <w:jc w:val="right"/>
        <w:rPr>
          <w:rFonts w:ascii="Arial" w:hAnsi="Arial" w:cs="Arial"/>
          <w:b/>
          <w:sz w:val="18"/>
          <w:szCs w:val="18"/>
          <w:lang w:val="fr-CI"/>
        </w:rPr>
      </w:pPr>
      <w:r>
        <w:rPr>
          <w:rFonts w:ascii="Arial" w:hAnsi="Arial" w:cs="Arial"/>
          <w:b/>
          <w:sz w:val="18"/>
          <w:szCs w:val="18"/>
          <w:lang w:val="fr-CI"/>
        </w:rPr>
        <w:t>SP18584 – 122/29/15</w:t>
      </w:r>
    </w:p>
    <w:p w:rsidR="00BC1407" w:rsidRPr="004366FD" w:rsidRDefault="00BC1407" w:rsidP="00AE2F12">
      <w:pPr>
        <w:spacing w:after="0" w:line="240" w:lineRule="auto"/>
        <w:jc w:val="both"/>
        <w:rPr>
          <w:rFonts w:ascii="Arial" w:hAnsi="Arial" w:cs="Arial"/>
          <w:b/>
          <w:sz w:val="24"/>
          <w:szCs w:val="24"/>
          <w:lang w:val="fr-CI"/>
        </w:rPr>
      </w:pPr>
    </w:p>
    <w:p w:rsidR="00AE2F12" w:rsidRDefault="00AE2F12" w:rsidP="00AE2F12">
      <w:pPr>
        <w:spacing w:after="0" w:line="240" w:lineRule="auto"/>
        <w:jc w:val="center"/>
        <w:rPr>
          <w:rFonts w:ascii="Arial" w:hAnsi="Arial" w:cs="Arial"/>
          <w:b/>
          <w:sz w:val="28"/>
          <w:szCs w:val="28"/>
          <w:lang w:val="fr-CI"/>
        </w:rPr>
      </w:pPr>
    </w:p>
    <w:p w:rsidR="00AE2F12" w:rsidRDefault="00AE2F12" w:rsidP="00AE2F12">
      <w:pPr>
        <w:spacing w:after="0" w:line="240" w:lineRule="auto"/>
        <w:jc w:val="center"/>
        <w:rPr>
          <w:rFonts w:ascii="Arial" w:hAnsi="Arial" w:cs="Arial"/>
          <w:b/>
          <w:sz w:val="28"/>
          <w:szCs w:val="28"/>
          <w:lang w:val="fr-CI"/>
        </w:rPr>
      </w:pPr>
    </w:p>
    <w:p w:rsidR="00AE2F12" w:rsidRDefault="00AE2F12" w:rsidP="00AE2F12">
      <w:pPr>
        <w:spacing w:after="0" w:line="240" w:lineRule="auto"/>
        <w:jc w:val="center"/>
        <w:rPr>
          <w:rFonts w:ascii="Arial" w:hAnsi="Arial" w:cs="Arial"/>
          <w:b/>
          <w:sz w:val="28"/>
          <w:szCs w:val="28"/>
          <w:lang w:val="fr-CI"/>
        </w:rPr>
      </w:pPr>
    </w:p>
    <w:p w:rsidR="00BC1407" w:rsidRPr="00AE2F12" w:rsidRDefault="00AE2F12" w:rsidP="00AE2F12">
      <w:pPr>
        <w:spacing w:after="0" w:line="240" w:lineRule="auto"/>
        <w:jc w:val="center"/>
        <w:rPr>
          <w:rFonts w:ascii="Arial" w:hAnsi="Arial" w:cs="Arial"/>
          <w:b/>
          <w:sz w:val="28"/>
          <w:szCs w:val="28"/>
          <w:lang w:val="fr-CI"/>
        </w:rPr>
      </w:pPr>
      <w:r w:rsidRPr="00AE2F12">
        <w:rPr>
          <w:rFonts w:ascii="Arial" w:hAnsi="Arial" w:cs="Arial"/>
          <w:b/>
          <w:sz w:val="28"/>
          <w:szCs w:val="28"/>
          <w:lang w:val="fr-CI"/>
        </w:rPr>
        <w:t>RAPPORT SUR L’ÉTAT D’AVANCEMENT DU PREMIER PLAN DÉCENNAL DE MISE EN ŒUVRE DE L’AGENDA 2063</w:t>
      </w:r>
    </w:p>
    <w:p w:rsidR="00BC1407" w:rsidRPr="00AE2F12" w:rsidRDefault="00BC1407" w:rsidP="00AE2F12">
      <w:pPr>
        <w:spacing w:after="0" w:line="240" w:lineRule="auto"/>
        <w:jc w:val="both"/>
        <w:rPr>
          <w:rFonts w:ascii="Arial" w:hAnsi="Arial" w:cs="Arial"/>
          <w:b/>
          <w:sz w:val="28"/>
          <w:szCs w:val="28"/>
          <w:lang w:val="fr-CI"/>
        </w:rPr>
      </w:pPr>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AE2F12">
      <w:pPr>
        <w:spacing w:after="0" w:line="240" w:lineRule="auto"/>
        <w:jc w:val="both"/>
        <w:rPr>
          <w:rFonts w:ascii="Arial" w:hAnsi="Arial" w:cs="Arial"/>
          <w:b/>
          <w:sz w:val="24"/>
          <w:szCs w:val="24"/>
          <w:lang w:val="fr-CI"/>
        </w:rPr>
      </w:pPr>
      <w:bookmarkStart w:id="0" w:name="_GoBack"/>
      <w:bookmarkEnd w:id="0"/>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AE2F12">
      <w:pPr>
        <w:spacing w:after="0" w:line="240" w:lineRule="auto"/>
        <w:jc w:val="both"/>
        <w:rPr>
          <w:rFonts w:ascii="Arial" w:hAnsi="Arial" w:cs="Arial"/>
          <w:b/>
          <w:sz w:val="24"/>
          <w:szCs w:val="24"/>
          <w:lang w:val="fr-CI"/>
        </w:rPr>
      </w:pPr>
    </w:p>
    <w:p w:rsidR="00BC1407" w:rsidRPr="004366FD" w:rsidRDefault="00BC1407" w:rsidP="00F05C47">
      <w:pPr>
        <w:spacing w:after="0" w:line="240" w:lineRule="auto"/>
        <w:jc w:val="center"/>
        <w:rPr>
          <w:rFonts w:ascii="Arial" w:hAnsi="Arial" w:cs="Arial"/>
          <w:b/>
          <w:sz w:val="24"/>
          <w:szCs w:val="24"/>
          <w:lang w:val="fr-CI"/>
        </w:rPr>
      </w:pPr>
      <w:r w:rsidRPr="004366FD">
        <w:rPr>
          <w:rFonts w:ascii="Arial" w:hAnsi="Arial" w:cs="Arial"/>
          <w:b/>
          <w:sz w:val="24"/>
          <w:szCs w:val="24"/>
          <w:lang w:val="fr-CI"/>
        </w:rPr>
        <w:t>D</w:t>
      </w:r>
      <w:r w:rsidR="007552BE" w:rsidRPr="004366FD">
        <w:rPr>
          <w:rFonts w:ascii="Arial" w:hAnsi="Arial" w:cs="Arial"/>
          <w:b/>
          <w:sz w:val="24"/>
          <w:szCs w:val="24"/>
          <w:lang w:val="fr-CI"/>
        </w:rPr>
        <w:t>é</w:t>
      </w:r>
      <w:r w:rsidRPr="004366FD">
        <w:rPr>
          <w:rFonts w:ascii="Arial" w:hAnsi="Arial" w:cs="Arial"/>
          <w:b/>
          <w:sz w:val="24"/>
          <w:szCs w:val="24"/>
          <w:lang w:val="fr-CI"/>
        </w:rPr>
        <w:t>cembr</w:t>
      </w:r>
      <w:r w:rsidR="007552BE" w:rsidRPr="004366FD">
        <w:rPr>
          <w:rFonts w:ascii="Arial" w:hAnsi="Arial" w:cs="Arial"/>
          <w:b/>
          <w:sz w:val="24"/>
          <w:szCs w:val="24"/>
          <w:lang w:val="fr-CI"/>
        </w:rPr>
        <w:t>e</w:t>
      </w:r>
      <w:r w:rsidRPr="004366FD">
        <w:rPr>
          <w:rFonts w:ascii="Arial" w:hAnsi="Arial" w:cs="Arial"/>
          <w:b/>
          <w:sz w:val="24"/>
          <w:szCs w:val="24"/>
          <w:lang w:val="fr-CI"/>
        </w:rPr>
        <w:t xml:space="preserve"> 2016</w:t>
      </w:r>
    </w:p>
    <w:p w:rsidR="00AE2F12" w:rsidRDefault="00AE2F12">
      <w:pPr>
        <w:rPr>
          <w:rFonts w:ascii="Arial" w:hAnsi="Arial" w:cs="Arial"/>
          <w:b/>
          <w:sz w:val="28"/>
          <w:szCs w:val="28"/>
          <w:lang w:val="fr-CI"/>
        </w:rPr>
      </w:pPr>
      <w:r>
        <w:rPr>
          <w:rFonts w:ascii="Arial" w:hAnsi="Arial" w:cs="Arial"/>
          <w:b/>
          <w:sz w:val="28"/>
          <w:szCs w:val="28"/>
          <w:lang w:val="fr-CI"/>
        </w:rPr>
        <w:br w:type="page"/>
      </w:r>
    </w:p>
    <w:p w:rsidR="00AE2F12" w:rsidRDefault="00AE2F12" w:rsidP="00AE2F12">
      <w:pPr>
        <w:spacing w:after="0" w:line="240" w:lineRule="auto"/>
        <w:jc w:val="center"/>
        <w:rPr>
          <w:rFonts w:ascii="Arial" w:hAnsi="Arial" w:cs="Arial"/>
          <w:b/>
          <w:sz w:val="28"/>
          <w:szCs w:val="28"/>
          <w:lang w:val="fr-CI"/>
        </w:rPr>
      </w:pPr>
    </w:p>
    <w:p w:rsidR="0026525D" w:rsidRDefault="00AE2F12" w:rsidP="00AE2F12">
      <w:pPr>
        <w:spacing w:after="0" w:line="240" w:lineRule="auto"/>
        <w:jc w:val="center"/>
        <w:rPr>
          <w:rFonts w:ascii="Arial" w:hAnsi="Arial" w:cs="Arial"/>
          <w:b/>
          <w:sz w:val="24"/>
          <w:szCs w:val="28"/>
          <w:lang w:val="fr-CI"/>
        </w:rPr>
      </w:pPr>
      <w:r w:rsidRPr="00AE2F12">
        <w:rPr>
          <w:rFonts w:ascii="Arial" w:hAnsi="Arial" w:cs="Arial"/>
          <w:b/>
          <w:sz w:val="24"/>
          <w:szCs w:val="28"/>
          <w:lang w:val="fr-CI"/>
        </w:rPr>
        <w:t xml:space="preserve">RAPPORT SUR L’ÉTAT D’AVANCEMENT </w:t>
      </w:r>
      <w:r w:rsidR="0026525D">
        <w:rPr>
          <w:rFonts w:ascii="Arial" w:hAnsi="Arial" w:cs="Arial"/>
          <w:b/>
          <w:sz w:val="24"/>
          <w:szCs w:val="28"/>
          <w:lang w:val="fr-CI"/>
        </w:rPr>
        <w:t>DU PREMIER</w:t>
      </w:r>
    </w:p>
    <w:p w:rsidR="00AE2F12" w:rsidRPr="00AE2F12" w:rsidRDefault="00AE2F12" w:rsidP="00AE2F12">
      <w:pPr>
        <w:spacing w:after="0" w:line="240" w:lineRule="auto"/>
        <w:jc w:val="center"/>
        <w:rPr>
          <w:rFonts w:ascii="Arial" w:hAnsi="Arial" w:cs="Arial"/>
          <w:b/>
          <w:sz w:val="24"/>
          <w:szCs w:val="28"/>
          <w:lang w:val="fr-CI"/>
        </w:rPr>
      </w:pPr>
      <w:r w:rsidRPr="00AE2F12">
        <w:rPr>
          <w:rFonts w:ascii="Arial" w:hAnsi="Arial" w:cs="Arial"/>
          <w:b/>
          <w:sz w:val="24"/>
          <w:szCs w:val="28"/>
          <w:lang w:val="fr-CI"/>
        </w:rPr>
        <w:t>PLAN DÉCENNAL DE MISE EN ŒUVRE DE L’AGENDA 2063</w:t>
      </w:r>
    </w:p>
    <w:p w:rsidR="00AE2F12" w:rsidRDefault="00AE2F12" w:rsidP="00AE2F12">
      <w:pPr>
        <w:spacing w:after="0" w:line="240" w:lineRule="auto"/>
        <w:jc w:val="both"/>
        <w:rPr>
          <w:rFonts w:ascii="Arial" w:hAnsi="Arial" w:cs="Arial"/>
          <w:b/>
          <w:sz w:val="24"/>
          <w:szCs w:val="28"/>
          <w:lang w:val="fr-CI"/>
        </w:rPr>
      </w:pPr>
    </w:p>
    <w:p w:rsidR="0026525D" w:rsidRPr="00AE2F12" w:rsidRDefault="0026525D" w:rsidP="00AE2F12">
      <w:pPr>
        <w:spacing w:after="0" w:line="240" w:lineRule="auto"/>
        <w:jc w:val="both"/>
        <w:rPr>
          <w:rFonts w:ascii="Arial" w:hAnsi="Arial" w:cs="Arial"/>
          <w:b/>
          <w:sz w:val="24"/>
          <w:szCs w:val="28"/>
          <w:lang w:val="fr-CI"/>
        </w:rPr>
      </w:pPr>
    </w:p>
    <w:p w:rsidR="002F645D" w:rsidRPr="0026525D" w:rsidRDefault="00BC1407" w:rsidP="0026525D">
      <w:pPr>
        <w:pStyle w:val="ListParagraph"/>
        <w:numPr>
          <w:ilvl w:val="0"/>
          <w:numId w:val="29"/>
        </w:numPr>
        <w:spacing w:after="0" w:line="240" w:lineRule="auto"/>
        <w:ind w:hanging="720"/>
        <w:rPr>
          <w:rFonts w:ascii="Arial" w:hAnsi="Arial" w:cs="Arial"/>
          <w:b/>
          <w:sz w:val="24"/>
          <w:szCs w:val="24"/>
          <w:lang w:val="fr-CI"/>
        </w:rPr>
      </w:pPr>
      <w:r w:rsidRPr="0026525D">
        <w:rPr>
          <w:rFonts w:ascii="Arial" w:hAnsi="Arial" w:cs="Arial"/>
          <w:b/>
          <w:sz w:val="24"/>
          <w:szCs w:val="24"/>
          <w:lang w:val="fr-CI"/>
        </w:rPr>
        <w:t xml:space="preserve">Introduction </w:t>
      </w:r>
    </w:p>
    <w:p w:rsidR="002F645D" w:rsidRPr="004366FD" w:rsidRDefault="002F645D" w:rsidP="00AE2F12">
      <w:pPr>
        <w:spacing w:after="0" w:line="240" w:lineRule="auto"/>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bCs/>
          <w:sz w:val="24"/>
          <w:szCs w:val="24"/>
          <w:lang w:val="fr-CI"/>
        </w:rPr>
      </w:pPr>
      <w:r w:rsidRPr="004366FD">
        <w:rPr>
          <w:rFonts w:ascii="Arial" w:hAnsi="Arial" w:cs="Arial"/>
          <w:bCs/>
          <w:sz w:val="24"/>
          <w:szCs w:val="24"/>
          <w:lang w:val="fr-CI"/>
        </w:rPr>
        <w:t>Le présent rapport constitue une mise à jour sur la mise en œuvre de l’Agenda 2063 soumise au Comité ministériel de suivi. Il porte essentiellement sur deux domaines clés : (i) l’internalisation de l’Agenda et ii) les progrès réalisés en ce qui concerne la mise en œuvre des projets phares. Le rapport souligne également les progrès accomplis dans l’élaboration du cadre d’évaluation et de responsabilisation de l’Agenda 2063, l’alignement/la convergence des systèmes de S</w:t>
      </w:r>
      <w:r w:rsidR="00331E1D">
        <w:rPr>
          <w:rFonts w:ascii="Arial" w:hAnsi="Arial" w:cs="Arial"/>
          <w:bCs/>
          <w:sz w:val="24"/>
          <w:szCs w:val="24"/>
          <w:lang w:val="fr-CI"/>
        </w:rPr>
        <w:t xml:space="preserve"> </w:t>
      </w:r>
      <w:r w:rsidRPr="004366FD">
        <w:rPr>
          <w:rFonts w:ascii="Arial" w:hAnsi="Arial" w:cs="Arial"/>
          <w:bCs/>
          <w:sz w:val="24"/>
          <w:szCs w:val="24"/>
          <w:lang w:val="fr-CI"/>
        </w:rPr>
        <w:t>&amp;</w:t>
      </w:r>
      <w:r w:rsidR="00331E1D">
        <w:rPr>
          <w:rFonts w:ascii="Arial" w:hAnsi="Arial" w:cs="Arial"/>
          <w:bCs/>
          <w:sz w:val="24"/>
          <w:szCs w:val="24"/>
          <w:lang w:val="fr-CI"/>
        </w:rPr>
        <w:t xml:space="preserve"> </w:t>
      </w:r>
      <w:r w:rsidRPr="004366FD">
        <w:rPr>
          <w:rFonts w:ascii="Arial" w:hAnsi="Arial" w:cs="Arial"/>
          <w:bCs/>
          <w:sz w:val="24"/>
          <w:szCs w:val="24"/>
          <w:lang w:val="fr-CI"/>
        </w:rPr>
        <w:t>E des Communautés économiques régionales dans le contexte de l’Agenda 2063, la stratégie de mobilisation des ressources et de partenariat, ainsi que les mesures prises pour sensibiliser les populations à l’Agenda 2063 et le vulgariser auprès d’elles.</w:t>
      </w:r>
    </w:p>
    <w:p w:rsidR="007552BE" w:rsidRPr="004366FD" w:rsidRDefault="007552BE" w:rsidP="00AE2F12">
      <w:pPr>
        <w:spacing w:after="0" w:line="240" w:lineRule="auto"/>
        <w:contextualSpacing/>
        <w:jc w:val="both"/>
        <w:rPr>
          <w:rFonts w:ascii="Arial" w:hAnsi="Arial" w:cs="Arial"/>
          <w:bCs/>
          <w:sz w:val="24"/>
          <w:szCs w:val="24"/>
          <w:lang w:val="fr-CI"/>
        </w:rPr>
      </w:pPr>
    </w:p>
    <w:p w:rsidR="007552BE" w:rsidRPr="004366FD" w:rsidRDefault="007552BE" w:rsidP="00AE2F12">
      <w:pPr>
        <w:spacing w:after="0" w:line="240" w:lineRule="auto"/>
        <w:contextualSpacing/>
        <w:jc w:val="both"/>
        <w:rPr>
          <w:rFonts w:ascii="Arial" w:hAnsi="Arial" w:cs="Arial"/>
          <w:bCs/>
          <w:sz w:val="24"/>
          <w:szCs w:val="24"/>
          <w:lang w:val="fr-CI"/>
        </w:rPr>
      </w:pPr>
      <w:r w:rsidRPr="004366FD">
        <w:rPr>
          <w:rFonts w:ascii="Arial" w:hAnsi="Arial" w:cs="Arial"/>
          <w:bCs/>
          <w:sz w:val="24"/>
          <w:szCs w:val="24"/>
          <w:lang w:val="fr-CI"/>
        </w:rPr>
        <w:t>Les organes délibérants respectifs de l’Union sont invités à prendre note des progrès réalisés, des enjeux et défis mis en évidence et à examiner et à adopter les mesures/recommandations proposées.</w:t>
      </w:r>
    </w:p>
    <w:p w:rsidR="007552BE" w:rsidRPr="004366FD" w:rsidRDefault="007552BE" w:rsidP="00AE2F12">
      <w:pPr>
        <w:spacing w:after="0" w:line="240" w:lineRule="auto"/>
        <w:contextualSpacing/>
        <w:jc w:val="both"/>
        <w:rPr>
          <w:rFonts w:ascii="Arial" w:hAnsi="Arial" w:cs="Arial"/>
          <w:bCs/>
          <w:sz w:val="24"/>
          <w:szCs w:val="24"/>
          <w:lang w:val="fr-CI"/>
        </w:rPr>
      </w:pPr>
    </w:p>
    <w:p w:rsidR="007552BE" w:rsidRDefault="007552BE" w:rsidP="00AE2F12">
      <w:pPr>
        <w:spacing w:after="0" w:line="240" w:lineRule="auto"/>
        <w:contextualSpacing/>
        <w:jc w:val="both"/>
        <w:rPr>
          <w:rFonts w:ascii="Arial" w:hAnsi="Arial" w:cs="Arial"/>
          <w:bCs/>
          <w:sz w:val="24"/>
          <w:szCs w:val="24"/>
          <w:lang w:val="fr-CI"/>
        </w:rPr>
      </w:pPr>
      <w:r w:rsidRPr="004366FD">
        <w:rPr>
          <w:rFonts w:ascii="Arial" w:hAnsi="Arial" w:cs="Arial"/>
          <w:bCs/>
          <w:sz w:val="24"/>
          <w:szCs w:val="24"/>
          <w:lang w:val="fr-CI"/>
        </w:rPr>
        <w:t>Le Comité est l’organe statutaire chargé de la supervision technique de la mise en œuvre de l’Agenda 2063. Il a été établi par la 24</w:t>
      </w:r>
      <w:r w:rsidRPr="004366FD">
        <w:rPr>
          <w:rFonts w:ascii="Arial" w:hAnsi="Arial" w:cs="Arial"/>
          <w:bCs/>
          <w:sz w:val="24"/>
          <w:szCs w:val="24"/>
          <w:vertAlign w:val="superscript"/>
          <w:lang w:val="fr-CI"/>
        </w:rPr>
        <w:t>e</w:t>
      </w:r>
      <w:r w:rsidRPr="004366FD">
        <w:rPr>
          <w:rFonts w:ascii="Arial" w:hAnsi="Arial" w:cs="Arial"/>
          <w:bCs/>
          <w:sz w:val="24"/>
          <w:szCs w:val="24"/>
          <w:lang w:val="fr-CI"/>
        </w:rPr>
        <w:t xml:space="preserve"> Session du Conseil exécutif, décision EX.CL/Dec.807 (janvier 2014), le « Comité ministériel sur l’Agenda 2063 » :</w:t>
      </w:r>
    </w:p>
    <w:p w:rsidR="0026525D" w:rsidRPr="004366FD" w:rsidRDefault="0026525D" w:rsidP="00AE2F12">
      <w:pPr>
        <w:spacing w:after="0" w:line="240" w:lineRule="auto"/>
        <w:contextualSpacing/>
        <w:jc w:val="both"/>
        <w:rPr>
          <w:rFonts w:ascii="Arial" w:hAnsi="Arial" w:cs="Arial"/>
          <w:bCs/>
          <w:sz w:val="24"/>
          <w:szCs w:val="24"/>
          <w:lang w:val="fr-CI"/>
        </w:rPr>
      </w:pPr>
    </w:p>
    <w:p w:rsidR="007552BE" w:rsidRPr="004366FD" w:rsidRDefault="0026525D" w:rsidP="0026525D">
      <w:pPr>
        <w:pStyle w:val="ListParagraph"/>
        <w:numPr>
          <w:ilvl w:val="0"/>
          <w:numId w:val="5"/>
        </w:numPr>
        <w:spacing w:after="0" w:line="240" w:lineRule="auto"/>
        <w:ind w:left="1276" w:hanging="567"/>
        <w:jc w:val="both"/>
        <w:rPr>
          <w:rFonts w:ascii="Arial" w:hAnsi="Arial" w:cs="Arial"/>
          <w:sz w:val="24"/>
          <w:szCs w:val="24"/>
          <w:lang w:val="fr-CI"/>
        </w:rPr>
      </w:pPr>
      <w:r>
        <w:rPr>
          <w:rFonts w:ascii="Arial" w:hAnsi="Arial" w:cs="Arial"/>
          <w:sz w:val="24"/>
          <w:szCs w:val="24"/>
          <w:lang w:val="fr-CI"/>
        </w:rPr>
        <w:t>d</w:t>
      </w:r>
      <w:r w:rsidR="007552BE" w:rsidRPr="004366FD">
        <w:rPr>
          <w:rFonts w:ascii="Arial" w:hAnsi="Arial" w:cs="Arial"/>
          <w:sz w:val="24"/>
          <w:szCs w:val="24"/>
          <w:lang w:val="fr-CI"/>
        </w:rPr>
        <w:t>éfinit l’orientation stratégique de l’Union conformément à la Vision de l’UA ;</w:t>
      </w:r>
    </w:p>
    <w:p w:rsidR="0026525D" w:rsidRDefault="0026525D" w:rsidP="0026525D">
      <w:pPr>
        <w:pStyle w:val="ListParagraph"/>
        <w:spacing w:after="0" w:line="240" w:lineRule="auto"/>
        <w:ind w:left="1276"/>
        <w:jc w:val="both"/>
        <w:rPr>
          <w:rFonts w:ascii="Arial" w:hAnsi="Arial" w:cs="Arial"/>
          <w:sz w:val="24"/>
          <w:szCs w:val="24"/>
          <w:lang w:val="fr-CI"/>
        </w:rPr>
      </w:pPr>
    </w:p>
    <w:p w:rsidR="007552BE" w:rsidRPr="004366FD" w:rsidRDefault="0026525D" w:rsidP="0026525D">
      <w:pPr>
        <w:pStyle w:val="ListParagraph"/>
        <w:numPr>
          <w:ilvl w:val="0"/>
          <w:numId w:val="5"/>
        </w:numPr>
        <w:spacing w:after="0" w:line="240" w:lineRule="auto"/>
        <w:ind w:left="1276" w:hanging="567"/>
        <w:jc w:val="both"/>
        <w:rPr>
          <w:rFonts w:ascii="Arial" w:hAnsi="Arial" w:cs="Arial"/>
          <w:sz w:val="24"/>
          <w:szCs w:val="24"/>
          <w:lang w:val="fr-CI"/>
        </w:rPr>
      </w:pPr>
      <w:r>
        <w:rPr>
          <w:rFonts w:ascii="Arial" w:hAnsi="Arial" w:cs="Arial"/>
          <w:sz w:val="24"/>
          <w:szCs w:val="24"/>
          <w:lang w:val="fr-CI"/>
        </w:rPr>
        <w:t>a</w:t>
      </w:r>
      <w:r w:rsidR="007552BE" w:rsidRPr="004366FD">
        <w:rPr>
          <w:rFonts w:ascii="Arial" w:hAnsi="Arial" w:cs="Arial"/>
          <w:sz w:val="24"/>
          <w:szCs w:val="24"/>
          <w:lang w:val="fr-CI"/>
        </w:rPr>
        <w:t>ssure l’efficacité ;</w:t>
      </w:r>
    </w:p>
    <w:p w:rsidR="0026525D" w:rsidRDefault="0026525D" w:rsidP="0026525D">
      <w:pPr>
        <w:pStyle w:val="ListParagraph"/>
        <w:spacing w:after="0" w:line="240" w:lineRule="auto"/>
        <w:ind w:left="1276"/>
        <w:jc w:val="both"/>
        <w:rPr>
          <w:rFonts w:ascii="Arial" w:hAnsi="Arial" w:cs="Arial"/>
          <w:sz w:val="24"/>
          <w:szCs w:val="24"/>
          <w:lang w:val="fr-CI"/>
        </w:rPr>
      </w:pPr>
    </w:p>
    <w:p w:rsidR="007552BE" w:rsidRPr="004366FD" w:rsidRDefault="0026525D" w:rsidP="0026525D">
      <w:pPr>
        <w:pStyle w:val="ListParagraph"/>
        <w:numPr>
          <w:ilvl w:val="0"/>
          <w:numId w:val="5"/>
        </w:numPr>
        <w:spacing w:after="0" w:line="240" w:lineRule="auto"/>
        <w:ind w:left="1276" w:hanging="567"/>
        <w:jc w:val="both"/>
        <w:rPr>
          <w:rFonts w:ascii="Arial" w:hAnsi="Arial" w:cs="Arial"/>
          <w:sz w:val="24"/>
          <w:szCs w:val="24"/>
          <w:lang w:val="fr-CI"/>
        </w:rPr>
      </w:pPr>
      <w:r>
        <w:rPr>
          <w:rFonts w:ascii="Arial" w:hAnsi="Arial" w:cs="Arial"/>
          <w:sz w:val="24"/>
          <w:szCs w:val="24"/>
          <w:lang w:val="fr-CI"/>
        </w:rPr>
        <w:t>a</w:t>
      </w:r>
      <w:r w:rsidR="007552BE" w:rsidRPr="004366FD">
        <w:rPr>
          <w:rFonts w:ascii="Arial" w:hAnsi="Arial" w:cs="Arial"/>
          <w:sz w:val="24"/>
          <w:szCs w:val="24"/>
          <w:lang w:val="fr-CI"/>
        </w:rPr>
        <w:t>ssure le financement et la responsabilisation dans la mise en œuvre de l’Agenda 2063 ;</w:t>
      </w:r>
    </w:p>
    <w:p w:rsidR="0026525D" w:rsidRDefault="0026525D" w:rsidP="0026525D">
      <w:pPr>
        <w:pStyle w:val="ListParagraph"/>
        <w:spacing w:after="0" w:line="240" w:lineRule="auto"/>
        <w:ind w:left="1276"/>
        <w:jc w:val="both"/>
        <w:rPr>
          <w:rFonts w:ascii="Arial" w:hAnsi="Arial" w:cs="Arial"/>
          <w:sz w:val="24"/>
          <w:szCs w:val="24"/>
          <w:lang w:val="fr-CI"/>
        </w:rPr>
      </w:pPr>
    </w:p>
    <w:p w:rsidR="007552BE" w:rsidRPr="004366FD" w:rsidRDefault="0026525D" w:rsidP="0026525D">
      <w:pPr>
        <w:pStyle w:val="ListParagraph"/>
        <w:numPr>
          <w:ilvl w:val="0"/>
          <w:numId w:val="5"/>
        </w:numPr>
        <w:spacing w:after="0" w:line="240" w:lineRule="auto"/>
        <w:ind w:left="1276" w:hanging="567"/>
        <w:jc w:val="both"/>
        <w:rPr>
          <w:rFonts w:ascii="Arial" w:hAnsi="Arial" w:cs="Arial"/>
          <w:sz w:val="24"/>
          <w:szCs w:val="24"/>
          <w:lang w:val="fr-CI"/>
        </w:rPr>
      </w:pPr>
      <w:r>
        <w:rPr>
          <w:rFonts w:ascii="Arial" w:hAnsi="Arial" w:cs="Arial"/>
          <w:sz w:val="24"/>
          <w:szCs w:val="24"/>
          <w:lang w:val="fr-CI"/>
        </w:rPr>
        <w:t>d</w:t>
      </w:r>
      <w:r w:rsidR="007552BE" w:rsidRPr="004366FD">
        <w:rPr>
          <w:rFonts w:ascii="Arial" w:hAnsi="Arial" w:cs="Arial"/>
          <w:sz w:val="24"/>
          <w:szCs w:val="24"/>
          <w:lang w:val="fr-CI"/>
        </w:rPr>
        <w:t>éfinit son premier Plan décennal de mise en œuvre et ses plans successifs, conformément aux règlements pertinents de l’Union africaine.</w:t>
      </w:r>
    </w:p>
    <w:p w:rsidR="007552BE" w:rsidRPr="004366FD" w:rsidRDefault="007552BE" w:rsidP="00AE2F12">
      <w:pPr>
        <w:spacing w:after="0" w:line="240" w:lineRule="auto"/>
        <w:contextualSpacing/>
        <w:jc w:val="both"/>
        <w:rPr>
          <w:rFonts w:ascii="Arial" w:hAnsi="Arial" w:cs="Arial"/>
          <w:bCs/>
          <w:sz w:val="24"/>
          <w:szCs w:val="24"/>
          <w:lang w:val="fr-CI"/>
        </w:rPr>
      </w:pPr>
    </w:p>
    <w:p w:rsidR="007552BE" w:rsidRPr="004366FD" w:rsidRDefault="007552BE" w:rsidP="00AE2F12">
      <w:pPr>
        <w:spacing w:after="0" w:line="240" w:lineRule="auto"/>
        <w:jc w:val="both"/>
        <w:rPr>
          <w:rFonts w:ascii="Arial" w:hAnsi="Arial" w:cs="Arial"/>
          <w:bCs/>
          <w:sz w:val="24"/>
          <w:szCs w:val="24"/>
          <w:lang w:val="fr-CI"/>
        </w:rPr>
      </w:pPr>
      <w:r w:rsidRPr="004366FD">
        <w:rPr>
          <w:rFonts w:ascii="Arial" w:hAnsi="Arial" w:cs="Arial"/>
          <w:bCs/>
          <w:sz w:val="24"/>
          <w:szCs w:val="24"/>
          <w:lang w:val="fr-CI"/>
        </w:rPr>
        <w:t>Les termes de référence/mandats et l’état de mise en œuvre à ce jour sont présentés dans le tableau ci-dessous.</w:t>
      </w:r>
    </w:p>
    <w:p w:rsidR="002F645D" w:rsidRPr="004366FD" w:rsidRDefault="002F645D" w:rsidP="00AE2F12">
      <w:pPr>
        <w:spacing w:after="0" w:line="240" w:lineRule="auto"/>
        <w:rPr>
          <w:rFonts w:ascii="Arial" w:hAnsi="Arial" w:cs="Arial"/>
          <w:sz w:val="24"/>
          <w:szCs w:val="24"/>
          <w:lang w:val="fr-CI"/>
        </w:rPr>
      </w:pPr>
      <w:r w:rsidRPr="004366FD">
        <w:rPr>
          <w:rFonts w:ascii="Arial" w:hAnsi="Arial" w:cs="Arial"/>
          <w:sz w:val="24"/>
          <w:szCs w:val="24"/>
          <w:lang w:val="fr-CI"/>
        </w:rPr>
        <w:br w:type="page"/>
      </w:r>
    </w:p>
    <w:p w:rsidR="002F645D" w:rsidRPr="004366FD" w:rsidRDefault="002F645D" w:rsidP="00AE2F12">
      <w:pPr>
        <w:pStyle w:val="ListParagraph"/>
        <w:spacing w:after="0" w:line="240" w:lineRule="auto"/>
        <w:jc w:val="both"/>
        <w:rPr>
          <w:rFonts w:ascii="Arial" w:hAnsi="Arial" w:cs="Arial"/>
          <w:sz w:val="24"/>
          <w:szCs w:val="24"/>
          <w:lang w:val="fr-CI"/>
        </w:rPr>
        <w:sectPr w:rsidR="002F645D" w:rsidRPr="004366FD" w:rsidSect="0026525D">
          <w:headerReference w:type="default" r:id="rId10"/>
          <w:pgSz w:w="12240" w:h="15840"/>
          <w:pgMar w:top="1440" w:right="1440" w:bottom="1440" w:left="1440" w:header="720" w:footer="720" w:gutter="0"/>
          <w:pgNumType w:start="0"/>
          <w:cols w:space="720"/>
          <w:titlePg/>
          <w:docGrid w:linePitch="360"/>
        </w:sectPr>
      </w:pPr>
    </w:p>
    <w:tbl>
      <w:tblPr>
        <w:tblStyle w:val="TableGrid"/>
        <w:tblW w:w="0" w:type="auto"/>
        <w:tblLook w:val="04A0" w:firstRow="1" w:lastRow="0" w:firstColumn="1" w:lastColumn="0" w:noHBand="0" w:noVBand="1"/>
      </w:tblPr>
      <w:tblGrid>
        <w:gridCol w:w="6799"/>
        <w:gridCol w:w="7270"/>
      </w:tblGrid>
      <w:tr w:rsidR="007552BE" w:rsidRPr="00F05C47" w:rsidTr="0026525D">
        <w:tc>
          <w:tcPr>
            <w:tcW w:w="6799" w:type="dxa"/>
          </w:tcPr>
          <w:p w:rsidR="007552BE" w:rsidRPr="0026525D" w:rsidRDefault="007552BE" w:rsidP="0026525D">
            <w:pPr>
              <w:jc w:val="center"/>
              <w:rPr>
                <w:rFonts w:ascii="Arial" w:hAnsi="Arial" w:cs="Arial"/>
                <w:b/>
                <w:szCs w:val="24"/>
                <w:lang w:val="fr-CI"/>
              </w:rPr>
            </w:pPr>
            <w:r w:rsidRPr="0026525D">
              <w:rPr>
                <w:rFonts w:ascii="Arial" w:hAnsi="Arial" w:cs="Arial"/>
                <w:b/>
                <w:szCs w:val="24"/>
                <w:lang w:val="fr-CI"/>
              </w:rPr>
              <w:lastRenderedPageBreak/>
              <w:t>Mandat</w:t>
            </w:r>
          </w:p>
        </w:tc>
        <w:tc>
          <w:tcPr>
            <w:tcW w:w="7270" w:type="dxa"/>
          </w:tcPr>
          <w:p w:rsidR="007552BE" w:rsidRPr="0026525D" w:rsidRDefault="007552BE" w:rsidP="0026525D">
            <w:pPr>
              <w:jc w:val="center"/>
              <w:rPr>
                <w:rFonts w:ascii="Arial" w:hAnsi="Arial" w:cs="Arial"/>
                <w:b/>
                <w:szCs w:val="24"/>
                <w:lang w:val="fr-CI"/>
              </w:rPr>
            </w:pPr>
            <w:r w:rsidRPr="0026525D">
              <w:rPr>
                <w:rFonts w:ascii="Arial" w:hAnsi="Arial" w:cs="Arial"/>
                <w:b/>
                <w:szCs w:val="24"/>
                <w:lang w:val="fr-CI"/>
              </w:rPr>
              <w:t>État de mise en œuvre</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Suivre et surveiller tous les aspects de la mise en œuvre du Plan d’action 2063, son Premier plan décennal de mise en œuvre et ses projets phares et les plans et projets successifs, et formuler des recommandations appropriées au Conseil exécutif, qui peut, le cas échéant, les renvoyer à la Conférence.</w:t>
            </w:r>
          </w:p>
          <w:p w:rsidR="0026525D" w:rsidRPr="0026525D" w:rsidRDefault="0026525D" w:rsidP="0026525D">
            <w:pPr>
              <w:pStyle w:val="ListParagraph"/>
              <w:ind w:left="1080"/>
              <w:jc w:val="both"/>
              <w:rPr>
                <w:rFonts w:ascii="Arial" w:hAnsi="Arial" w:cs="Arial"/>
                <w:szCs w:val="24"/>
                <w:lang w:val="fr-CI"/>
              </w:rPr>
            </w:pPr>
          </w:p>
          <w:p w:rsidR="007552BE" w:rsidRPr="0026525D" w:rsidRDefault="007552BE" w:rsidP="00AE2F12">
            <w:pPr>
              <w:jc w:val="both"/>
              <w:rPr>
                <w:rFonts w:ascii="Arial" w:hAnsi="Arial" w:cs="Arial"/>
                <w:bCs/>
                <w:szCs w:val="24"/>
                <w:lang w:val="fr-CI"/>
              </w:rPr>
            </w:pPr>
          </w:p>
        </w:tc>
        <w:tc>
          <w:tcPr>
            <w:tcW w:w="7270" w:type="dxa"/>
          </w:tcPr>
          <w:p w:rsidR="007552BE" w:rsidRPr="0026525D" w:rsidRDefault="007552BE" w:rsidP="0026525D">
            <w:pPr>
              <w:pStyle w:val="ListParagraph"/>
              <w:numPr>
                <w:ilvl w:val="3"/>
                <w:numId w:val="18"/>
              </w:numPr>
              <w:ind w:left="500" w:hanging="502"/>
              <w:jc w:val="both"/>
              <w:rPr>
                <w:rFonts w:ascii="Arial" w:hAnsi="Arial" w:cs="Arial"/>
                <w:bCs/>
                <w:szCs w:val="24"/>
                <w:lang w:val="fr-CI"/>
              </w:rPr>
            </w:pPr>
            <w:r w:rsidRPr="0026525D">
              <w:rPr>
                <w:rFonts w:ascii="Arial" w:hAnsi="Arial" w:cs="Arial"/>
                <w:szCs w:val="24"/>
                <w:lang w:val="fr-CI"/>
              </w:rPr>
              <w:t>Des progrès importants ont été accomplis en ce qui concerne l’élaboration d’un tel cadre de mesure et de responsabilisation.</w:t>
            </w:r>
          </w:p>
          <w:p w:rsidR="007552BE" w:rsidRPr="0026525D" w:rsidRDefault="007552BE" w:rsidP="0026525D">
            <w:pPr>
              <w:pStyle w:val="ListParagraph"/>
              <w:numPr>
                <w:ilvl w:val="0"/>
                <w:numId w:val="2"/>
              </w:numPr>
              <w:ind w:left="925" w:hanging="425"/>
              <w:jc w:val="both"/>
              <w:rPr>
                <w:rFonts w:ascii="Arial" w:hAnsi="Arial" w:cs="Arial"/>
                <w:bCs/>
                <w:szCs w:val="24"/>
                <w:lang w:val="fr-CI"/>
              </w:rPr>
            </w:pPr>
            <w:r w:rsidRPr="0026525D">
              <w:rPr>
                <w:rFonts w:ascii="Arial" w:hAnsi="Arial" w:cs="Arial"/>
                <w:szCs w:val="24"/>
                <w:lang w:val="fr-CI"/>
              </w:rPr>
              <w:t>Un ensemble d’indicateurs des FTYIP et les sources de données ont été convenus.</w:t>
            </w:r>
          </w:p>
          <w:p w:rsidR="007552BE" w:rsidRPr="0026525D" w:rsidRDefault="007552BE" w:rsidP="0026525D">
            <w:pPr>
              <w:pStyle w:val="ListParagraph"/>
              <w:numPr>
                <w:ilvl w:val="0"/>
                <w:numId w:val="2"/>
              </w:numPr>
              <w:ind w:left="925" w:hanging="425"/>
              <w:jc w:val="both"/>
              <w:rPr>
                <w:rFonts w:ascii="Arial" w:hAnsi="Arial" w:cs="Arial"/>
                <w:bCs/>
                <w:szCs w:val="24"/>
                <w:lang w:val="fr-CI"/>
              </w:rPr>
            </w:pPr>
            <w:r w:rsidRPr="0026525D">
              <w:rPr>
                <w:rFonts w:ascii="Arial" w:hAnsi="Arial" w:cs="Arial"/>
                <w:bCs/>
                <w:szCs w:val="24"/>
                <w:lang w:val="fr-CI"/>
              </w:rPr>
              <w:t>Élaboration des cartes à point de l’Agenda 2063 dans les zones ciblées dans le cadre de la validation des indicateurs.</w:t>
            </w:r>
          </w:p>
          <w:p w:rsidR="007552BE" w:rsidRPr="0026525D" w:rsidRDefault="007552BE" w:rsidP="0026525D">
            <w:pPr>
              <w:pStyle w:val="ListParagraph"/>
              <w:numPr>
                <w:ilvl w:val="0"/>
                <w:numId w:val="2"/>
              </w:numPr>
              <w:ind w:left="925" w:hanging="425"/>
              <w:jc w:val="both"/>
              <w:rPr>
                <w:rFonts w:ascii="Arial" w:hAnsi="Arial" w:cs="Arial"/>
                <w:bCs/>
                <w:szCs w:val="24"/>
                <w:lang w:val="fr-CI"/>
              </w:rPr>
            </w:pPr>
            <w:r w:rsidRPr="0026525D">
              <w:rPr>
                <w:rFonts w:ascii="Arial" w:hAnsi="Arial" w:cs="Arial"/>
                <w:bCs/>
                <w:szCs w:val="24"/>
                <w:lang w:val="fr-CI"/>
              </w:rPr>
              <w:t>Le cycle de suivi, notamment la fréquence et la durée d’obtention des données/informations de suivi auprès des États membres, ainsi que la fréquence et le calendrier de production des rapports de suivi ont été convenus.</w:t>
            </w:r>
          </w:p>
          <w:p w:rsidR="007552BE" w:rsidRPr="0026525D" w:rsidRDefault="007552BE" w:rsidP="0026525D">
            <w:pPr>
              <w:pStyle w:val="ListParagraph"/>
              <w:numPr>
                <w:ilvl w:val="3"/>
                <w:numId w:val="18"/>
              </w:numPr>
              <w:ind w:left="500" w:hanging="502"/>
              <w:jc w:val="both"/>
              <w:rPr>
                <w:rFonts w:ascii="Arial" w:hAnsi="Arial" w:cs="Arial"/>
                <w:bCs/>
                <w:szCs w:val="24"/>
                <w:lang w:val="fr-CI"/>
              </w:rPr>
            </w:pPr>
            <w:r w:rsidRPr="0026525D">
              <w:rPr>
                <w:rFonts w:ascii="Arial" w:hAnsi="Arial" w:cs="Arial"/>
                <w:szCs w:val="24"/>
                <w:lang w:val="fr-CI"/>
              </w:rPr>
              <w:t>Un projet de cadre de S</w:t>
            </w:r>
            <w:r w:rsidR="00331E1D" w:rsidRPr="0026525D">
              <w:rPr>
                <w:rFonts w:ascii="Arial" w:hAnsi="Arial" w:cs="Arial"/>
                <w:szCs w:val="24"/>
                <w:lang w:val="fr-CI"/>
              </w:rPr>
              <w:t xml:space="preserve"> </w:t>
            </w:r>
            <w:r w:rsidRPr="0026525D">
              <w:rPr>
                <w:rFonts w:ascii="Arial" w:hAnsi="Arial" w:cs="Arial"/>
                <w:szCs w:val="24"/>
                <w:lang w:val="fr-CI"/>
              </w:rPr>
              <w:t>&amp;</w:t>
            </w:r>
            <w:r w:rsidR="00331E1D" w:rsidRPr="0026525D">
              <w:rPr>
                <w:rFonts w:ascii="Arial" w:hAnsi="Arial" w:cs="Arial"/>
                <w:szCs w:val="24"/>
                <w:lang w:val="fr-CI"/>
              </w:rPr>
              <w:t xml:space="preserve"> </w:t>
            </w:r>
            <w:r w:rsidRPr="0026525D">
              <w:rPr>
                <w:rFonts w:ascii="Arial" w:hAnsi="Arial" w:cs="Arial"/>
                <w:szCs w:val="24"/>
                <w:lang w:val="fr-CI"/>
              </w:rPr>
              <w:t>E devrait être présenté au CTS lors de la réunion de mars 2017 avant son approbation finale par le Sommet de juin 2017.</w:t>
            </w:r>
          </w:p>
          <w:p w:rsidR="007552BE" w:rsidRPr="0026525D" w:rsidRDefault="007552BE" w:rsidP="0026525D">
            <w:pPr>
              <w:pStyle w:val="ListParagraph"/>
              <w:numPr>
                <w:ilvl w:val="3"/>
                <w:numId w:val="18"/>
              </w:numPr>
              <w:ind w:left="500" w:hanging="502"/>
              <w:jc w:val="both"/>
              <w:rPr>
                <w:rFonts w:ascii="Arial" w:hAnsi="Arial" w:cs="Arial"/>
                <w:bCs/>
                <w:szCs w:val="24"/>
                <w:lang w:val="fr-CI"/>
              </w:rPr>
            </w:pPr>
            <w:r w:rsidRPr="0026525D">
              <w:rPr>
                <w:rFonts w:ascii="Arial" w:hAnsi="Arial" w:cs="Arial"/>
                <w:bCs/>
                <w:szCs w:val="24"/>
                <w:lang w:val="fr-CI"/>
              </w:rPr>
              <w:t xml:space="preserve">Les progrès réalisés dans la mise en œuvre des projets phares se </w:t>
            </w:r>
            <w:r w:rsidRPr="0026525D">
              <w:rPr>
                <w:rFonts w:ascii="Arial" w:hAnsi="Arial" w:cs="Arial"/>
                <w:szCs w:val="24"/>
                <w:lang w:val="fr-CI"/>
              </w:rPr>
              <w:t>situent</w:t>
            </w:r>
            <w:r w:rsidRPr="0026525D">
              <w:rPr>
                <w:rFonts w:ascii="Arial" w:hAnsi="Arial" w:cs="Arial"/>
                <w:bCs/>
                <w:szCs w:val="24"/>
                <w:lang w:val="fr-CI"/>
              </w:rPr>
              <w:t xml:space="preserve"> à des niveaux différents selon la feuille de route établie pour chacun d’eux. Les études de faisabilité ont été achevées pour la plupart des projets et les parties prenantes ont été sensibilisées à procéder à leur démarrage.</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bCs/>
                <w:szCs w:val="24"/>
                <w:lang w:val="fr-CI"/>
              </w:rPr>
            </w:pPr>
            <w:r w:rsidRPr="0026525D">
              <w:rPr>
                <w:rFonts w:ascii="Arial" w:hAnsi="Arial" w:cs="Arial"/>
                <w:szCs w:val="24"/>
                <w:lang w:val="fr-CI"/>
              </w:rPr>
              <w:t>Veiller à ce que les États membres et les organisations régionales intègrent l’Agenda 2063 dans leurs plans de développement ;</w:t>
            </w:r>
          </w:p>
        </w:tc>
        <w:tc>
          <w:tcPr>
            <w:tcW w:w="7270" w:type="dxa"/>
          </w:tcPr>
          <w:p w:rsidR="007552BE" w:rsidRPr="0026525D" w:rsidRDefault="007552BE" w:rsidP="0026525D">
            <w:pPr>
              <w:pStyle w:val="ListParagraph"/>
              <w:numPr>
                <w:ilvl w:val="0"/>
                <w:numId w:val="27"/>
              </w:numPr>
              <w:ind w:left="500" w:hanging="502"/>
              <w:jc w:val="both"/>
              <w:rPr>
                <w:rFonts w:ascii="Arial" w:hAnsi="Arial" w:cs="Arial"/>
                <w:bCs/>
                <w:szCs w:val="24"/>
                <w:lang w:val="fr-CI"/>
              </w:rPr>
            </w:pPr>
            <w:r w:rsidRPr="0026525D">
              <w:rPr>
                <w:rFonts w:ascii="Arial" w:hAnsi="Arial" w:cs="Arial"/>
                <w:szCs w:val="24"/>
                <w:lang w:val="fr-CI"/>
              </w:rPr>
              <w:t xml:space="preserve">31 pays ont été sensibilisés à la mise en œuvre de l’Agenda 2063 ; 9 dans la </w:t>
            </w:r>
            <w:r w:rsidR="00BF6120" w:rsidRPr="0026525D">
              <w:rPr>
                <w:rFonts w:ascii="Arial" w:hAnsi="Arial" w:cs="Arial"/>
                <w:szCs w:val="24"/>
                <w:lang w:val="fr-CI"/>
              </w:rPr>
              <w:t>r</w:t>
            </w:r>
            <w:r w:rsidRPr="0026525D">
              <w:rPr>
                <w:rFonts w:ascii="Arial" w:hAnsi="Arial" w:cs="Arial"/>
                <w:szCs w:val="24"/>
                <w:lang w:val="fr-CI"/>
              </w:rPr>
              <w:t>égion Ouest, 8 dans le Sud, 8 dans l’Est, 4 dans le Centre et seulement 2 en Afrique du Nord.</w:t>
            </w:r>
          </w:p>
          <w:p w:rsidR="007552BE" w:rsidRPr="0026525D" w:rsidRDefault="007552BE" w:rsidP="0026525D">
            <w:pPr>
              <w:pStyle w:val="ListParagraph"/>
              <w:numPr>
                <w:ilvl w:val="0"/>
                <w:numId w:val="27"/>
              </w:numPr>
              <w:ind w:left="500" w:hanging="502"/>
              <w:jc w:val="both"/>
              <w:rPr>
                <w:rFonts w:ascii="Arial" w:hAnsi="Arial" w:cs="Arial"/>
                <w:bCs/>
                <w:szCs w:val="24"/>
                <w:lang w:val="fr-CI"/>
              </w:rPr>
            </w:pPr>
            <w:r w:rsidRPr="0026525D">
              <w:rPr>
                <w:rFonts w:ascii="Arial" w:hAnsi="Arial" w:cs="Arial"/>
                <w:bCs/>
                <w:szCs w:val="24"/>
                <w:lang w:val="fr-CI"/>
              </w:rPr>
              <w:t>Tous les organes de l’UA et les CER ont été sensibilisés et l’exercice d’auto</w:t>
            </w:r>
            <w:r w:rsidR="00BF6120" w:rsidRPr="0026525D">
              <w:rPr>
                <w:rFonts w:ascii="Arial" w:hAnsi="Arial" w:cs="Arial"/>
                <w:bCs/>
                <w:szCs w:val="24"/>
                <w:lang w:val="fr-CI"/>
              </w:rPr>
              <w:t>-</w:t>
            </w:r>
            <w:r w:rsidRPr="0026525D">
              <w:rPr>
                <w:rFonts w:ascii="Arial" w:hAnsi="Arial" w:cs="Arial"/>
                <w:bCs/>
                <w:szCs w:val="24"/>
                <w:lang w:val="fr-CI"/>
              </w:rPr>
              <w:t>évaluation et de cartographie a été mené à bien par la Commission afin de déterminer les progrès réalisés dans la mise en œuvre du plan stratégique actuel et d’aligner le plan subséquent au FTYIP.</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bCs/>
                <w:szCs w:val="24"/>
                <w:lang w:val="fr-CI"/>
              </w:rPr>
            </w:pPr>
            <w:r w:rsidRPr="0026525D">
              <w:rPr>
                <w:rFonts w:ascii="Arial" w:hAnsi="Arial" w:cs="Arial"/>
                <w:szCs w:val="24"/>
                <w:lang w:val="fr-CI"/>
              </w:rPr>
              <w:t>Surveiller et évaluer la mise en œuvre de toutes les décisions budgétaires de l’Union africaine relatives au financement et à la mise en œuvre d’Action 2063.</w:t>
            </w:r>
          </w:p>
        </w:tc>
        <w:tc>
          <w:tcPr>
            <w:tcW w:w="7270" w:type="dxa"/>
          </w:tcPr>
          <w:p w:rsidR="007552BE" w:rsidRPr="0026525D" w:rsidRDefault="007552BE" w:rsidP="00AE2F12">
            <w:pPr>
              <w:jc w:val="both"/>
              <w:rPr>
                <w:rFonts w:ascii="Arial" w:hAnsi="Arial" w:cs="Arial"/>
                <w:bCs/>
                <w:szCs w:val="24"/>
                <w:lang w:val="fr-CI"/>
              </w:rPr>
            </w:pPr>
            <w:r w:rsidRPr="0026525D">
              <w:rPr>
                <w:rFonts w:ascii="Arial" w:hAnsi="Arial" w:cs="Arial"/>
                <w:szCs w:val="24"/>
                <w:lang w:val="fr-CI"/>
              </w:rPr>
              <w:t>Ceci sera mis en œuvre pour les budgets suivants/ultérieurs à partir de 2017.</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 xml:space="preserve">Analyser, sur une base biannuelle, les rapports d’état d’avancement de toutes les parties prenantes (Comité de </w:t>
            </w:r>
            <w:r w:rsidRPr="0026525D">
              <w:rPr>
                <w:rFonts w:ascii="Arial" w:hAnsi="Arial" w:cs="Arial"/>
                <w:szCs w:val="24"/>
                <w:lang w:val="fr-CI"/>
              </w:rPr>
              <w:lastRenderedPageBreak/>
              <w:t>coordination des chefs de secrétariat de la CUA, des CER, de la CEA et de la BAD et des CTS) sur la mise en œuvre de l’Agenda 2063 sur la base de domaines thématiques et formuler les recommandations appropriées au Conseil exécutif.</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lastRenderedPageBreak/>
              <w:t xml:space="preserve">Des rapports d’étape sont préparés semestriellement, en particulier pour les institutions/agences qui coordonnent la mise en œuvre des projets et </w:t>
            </w:r>
            <w:r w:rsidRPr="0026525D">
              <w:rPr>
                <w:rFonts w:ascii="Arial" w:hAnsi="Arial" w:cs="Arial"/>
                <w:szCs w:val="24"/>
                <w:lang w:val="fr-CI"/>
              </w:rPr>
              <w:lastRenderedPageBreak/>
              <w:t>programmes phares, en vue d’améliorer l’efficacité de l’utilisation des ressources.</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lastRenderedPageBreak/>
              <w:t>Assurer l’alignement des thèmes annuels de la Conférence de l’Union sur les 12 projets phares du Premier plan décennal de mise en œuvre.</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Ce point devrait être examiné pendant la retraite afin de convenir des modalités.</w:t>
            </w:r>
          </w:p>
        </w:tc>
      </w:tr>
      <w:tr w:rsidR="007552BE" w:rsidRPr="0026525D"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Veiller à ce que tous les efforts soient déployés pour combler l’écart enregistré par le paradoxe africain et formuler des recommandations pertinentes à ce sujet aux retraites ministérielles.</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En cours</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Assure le suivi et la préparation, sur une base continue, d’un rapport de mise en œuvre et/ou d’une matrice sur tous les résultats et décisions antérieurs de la Retraite ministérielle afin d’assurer la cohérence et la continuité des questions discutées.</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Ceci est pris en compte par le rapport coordonné par le Bureau du Secrétaire général.</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Formuler des propositions pertinentes sur les points de l’ordre du jour des retraites ministérielles.</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Le groupe technique du Comité soumet des propositions pour examen.</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 xml:space="preserve">Entreprendre des examens à mi-parcours et formuler les propositions nécessaires sur l’affinage/l’amendement des Plans décennaux de mise en œuvre de l’Agenda 2063 </w:t>
            </w:r>
            <w:r w:rsidR="0026525D">
              <w:rPr>
                <w:rFonts w:ascii="Arial" w:hAnsi="Arial" w:cs="Arial"/>
                <w:szCs w:val="24"/>
                <w:lang w:val="fr-CI"/>
              </w:rPr>
              <w:t>[</w:t>
            </w:r>
            <w:r w:rsidRPr="0026525D">
              <w:rPr>
                <w:rFonts w:ascii="Arial" w:hAnsi="Arial" w:cs="Arial"/>
                <w:szCs w:val="24"/>
                <w:lang w:val="fr-CI"/>
              </w:rPr>
              <w:t xml:space="preserve">tel que prévu dans </w:t>
            </w:r>
            <w:r w:rsidR="0026525D">
              <w:rPr>
                <w:rFonts w:ascii="Arial" w:hAnsi="Arial" w:cs="Arial"/>
                <w:szCs w:val="24"/>
                <w:lang w:val="fr-CI"/>
              </w:rPr>
              <w:t>la Décision EX.CL/Dec.894 (§24)]</w:t>
            </w:r>
            <w:r w:rsidRPr="0026525D">
              <w:rPr>
                <w:rFonts w:ascii="Arial" w:hAnsi="Arial" w:cs="Arial"/>
                <w:szCs w:val="24"/>
                <w:lang w:val="fr-CI"/>
              </w:rPr>
              <w:t>.</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Pas encore le temps pour procéder à l’examen à mi-parcours.</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S’assurer que le travail et les résultats de l’ensemble des organes, mécanismes et processus de l’UA, en particulier les CTS, contribuent de manière cohérente, efficace et non répétitive à l’atteinte de l’objectif général qui est la mise en œuvre de l’Agenda 2063 et de son Premier Plan décennal de mise en œuvre.</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Il existe des arrangements permanents avec l’ensemble des CTS qui devront servir de plate-forme aux États membres pour présenter la manière dont ils intègrent l’Agenda 2063 ou pour être sensibilisés sur la manière dont leurs domaines thématiques pourraient intégrer l’Agenda 2063.</w:t>
            </w:r>
          </w:p>
        </w:tc>
      </w:tr>
      <w:tr w:rsidR="007552BE" w:rsidRPr="0026525D"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Donner des orientations sur les voies et moyens d’assurer que les partenariats stratégiques de l’Union africaine contribuent efficacement à la mise en œuvre des domaines prioritaires de l’Agenda 2063 et de son premier Plan décennal de mise en œuvre.</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Consultations en cours.</w:t>
            </w:r>
          </w:p>
        </w:tc>
      </w:tr>
      <w:tr w:rsidR="007552BE" w:rsidRPr="0026525D"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lastRenderedPageBreak/>
              <w:t>Donner des orientations sur la question de la rationalisation des Sommets de l’UA et des méthodes de travail de l’UA afin de permettre à l’Organisation de contribuer efficacement, par l’intermédiaire de ses organes délibérants, à la réalisation des objectifs et priorités de l’Agenda 2063 et de son premier Plan décennal de mise en œuvre.</w:t>
            </w:r>
          </w:p>
        </w:tc>
        <w:tc>
          <w:tcPr>
            <w:tcW w:w="7270" w:type="dxa"/>
          </w:tcPr>
          <w:p w:rsidR="007552BE" w:rsidRPr="0026525D" w:rsidRDefault="007552BE" w:rsidP="00AE2F12">
            <w:pPr>
              <w:jc w:val="both"/>
              <w:rPr>
                <w:rFonts w:ascii="Arial" w:hAnsi="Arial" w:cs="Arial"/>
                <w:szCs w:val="24"/>
                <w:lang w:val="fr-CI"/>
              </w:rPr>
            </w:pPr>
            <w:r w:rsidRPr="0026525D">
              <w:rPr>
                <w:rFonts w:ascii="Arial" w:hAnsi="Arial" w:cs="Arial"/>
                <w:szCs w:val="24"/>
                <w:lang w:val="fr-CI"/>
              </w:rPr>
              <w:t>Exercice en cours</w:t>
            </w: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À travers les mécanismes appropriés, surveiller le respect par tous du renforcement et du respect de toutes les décisions et positions communes de l’Union africaine dans les forums internationaux, par la Commission de l’UA, les organes, les États membres, les groupes d’ambassadeurs et les bureaux de représentation de l’UA à travers le monde.</w:t>
            </w:r>
          </w:p>
        </w:tc>
        <w:tc>
          <w:tcPr>
            <w:tcW w:w="7270" w:type="dxa"/>
          </w:tcPr>
          <w:p w:rsidR="007552BE" w:rsidRPr="0026525D" w:rsidRDefault="007552BE" w:rsidP="00AE2F12">
            <w:pPr>
              <w:jc w:val="both"/>
              <w:rPr>
                <w:rFonts w:ascii="Arial" w:hAnsi="Arial" w:cs="Arial"/>
                <w:szCs w:val="24"/>
                <w:lang w:val="fr-CI"/>
              </w:rPr>
            </w:pP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À travers les retraites ministérielles, formuler des recommandations et des propositions appropriées sur les questions relevant de son mandat au Conseil exécutif de l’UA et à la Conférence.</w:t>
            </w:r>
          </w:p>
        </w:tc>
        <w:tc>
          <w:tcPr>
            <w:tcW w:w="7270" w:type="dxa"/>
          </w:tcPr>
          <w:p w:rsidR="007552BE" w:rsidRPr="0026525D" w:rsidRDefault="007552BE" w:rsidP="00AE2F12">
            <w:pPr>
              <w:jc w:val="both"/>
              <w:rPr>
                <w:rFonts w:ascii="Arial" w:hAnsi="Arial" w:cs="Arial"/>
                <w:szCs w:val="24"/>
                <w:lang w:val="fr-CI"/>
              </w:rPr>
            </w:pP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Surveiller la rationalisation des CER afin d’assurer la réalisation effective de l’Agenda 2063.</w:t>
            </w:r>
          </w:p>
        </w:tc>
        <w:tc>
          <w:tcPr>
            <w:tcW w:w="7270" w:type="dxa"/>
          </w:tcPr>
          <w:p w:rsidR="007552BE" w:rsidRPr="0026525D" w:rsidRDefault="007552BE" w:rsidP="00AE2F12">
            <w:pPr>
              <w:jc w:val="both"/>
              <w:rPr>
                <w:rFonts w:ascii="Arial" w:hAnsi="Arial" w:cs="Arial"/>
                <w:szCs w:val="24"/>
                <w:lang w:val="fr-CI"/>
              </w:rPr>
            </w:pPr>
          </w:p>
        </w:tc>
      </w:tr>
      <w:tr w:rsidR="007552BE" w:rsidRPr="00F05C47" w:rsidTr="0026525D">
        <w:tc>
          <w:tcPr>
            <w:tcW w:w="6799" w:type="dxa"/>
          </w:tcPr>
          <w:p w:rsidR="007552BE" w:rsidRPr="0026525D" w:rsidRDefault="007552BE" w:rsidP="0026525D">
            <w:pPr>
              <w:pStyle w:val="ListParagraph"/>
              <w:numPr>
                <w:ilvl w:val="0"/>
                <w:numId w:val="28"/>
              </w:numPr>
              <w:ind w:left="454" w:hanging="425"/>
              <w:jc w:val="both"/>
              <w:rPr>
                <w:rFonts w:ascii="Arial" w:hAnsi="Arial" w:cs="Arial"/>
                <w:szCs w:val="24"/>
                <w:lang w:val="fr-CI"/>
              </w:rPr>
            </w:pPr>
            <w:r w:rsidRPr="0026525D">
              <w:rPr>
                <w:rFonts w:ascii="Arial" w:hAnsi="Arial" w:cs="Arial"/>
                <w:szCs w:val="24"/>
                <w:lang w:val="fr-CI"/>
              </w:rPr>
              <w:t>S’acquitter de toute autre mission conforme au mandat qui lui sera confié par le Conseil exécutif.</w:t>
            </w:r>
          </w:p>
        </w:tc>
        <w:tc>
          <w:tcPr>
            <w:tcW w:w="7270" w:type="dxa"/>
          </w:tcPr>
          <w:p w:rsidR="007552BE" w:rsidRPr="0026525D" w:rsidRDefault="007552BE" w:rsidP="00AE2F12">
            <w:pPr>
              <w:jc w:val="both"/>
              <w:rPr>
                <w:rFonts w:ascii="Arial" w:hAnsi="Arial" w:cs="Arial"/>
                <w:szCs w:val="24"/>
                <w:lang w:val="fr-CI"/>
              </w:rPr>
            </w:pPr>
          </w:p>
        </w:tc>
      </w:tr>
    </w:tbl>
    <w:p w:rsidR="008C0ED5" w:rsidRPr="004366FD" w:rsidRDefault="008C0ED5" w:rsidP="00AE2F12">
      <w:pPr>
        <w:spacing w:after="0" w:line="240" w:lineRule="auto"/>
        <w:jc w:val="both"/>
        <w:rPr>
          <w:rFonts w:ascii="Arial" w:hAnsi="Arial" w:cs="Arial"/>
          <w:sz w:val="24"/>
          <w:szCs w:val="24"/>
          <w:lang w:val="fr-CI"/>
        </w:rPr>
      </w:pPr>
    </w:p>
    <w:p w:rsidR="00BC1407" w:rsidRPr="004366FD" w:rsidRDefault="00BC1407" w:rsidP="00AE2F12">
      <w:pPr>
        <w:spacing w:after="0" w:line="240" w:lineRule="auto"/>
        <w:contextualSpacing/>
        <w:jc w:val="both"/>
        <w:rPr>
          <w:rFonts w:ascii="Arial" w:hAnsi="Arial" w:cs="Arial"/>
          <w:bCs/>
          <w:sz w:val="24"/>
          <w:szCs w:val="24"/>
          <w:lang w:val="fr-CI"/>
        </w:rPr>
      </w:pPr>
      <w:r w:rsidRPr="004366FD">
        <w:rPr>
          <w:rFonts w:ascii="Arial" w:hAnsi="Arial" w:cs="Arial"/>
          <w:bCs/>
          <w:sz w:val="24"/>
          <w:szCs w:val="24"/>
          <w:lang w:val="fr-CI"/>
        </w:rPr>
        <w:t xml:space="preserve"> </w:t>
      </w:r>
    </w:p>
    <w:p w:rsidR="00BC1407" w:rsidRPr="004366FD" w:rsidRDefault="00BC1407" w:rsidP="00AE2F12">
      <w:pPr>
        <w:spacing w:after="0" w:line="240" w:lineRule="auto"/>
        <w:contextualSpacing/>
        <w:jc w:val="both"/>
        <w:rPr>
          <w:rFonts w:ascii="Arial" w:hAnsi="Arial" w:cs="Arial"/>
          <w:bCs/>
          <w:sz w:val="24"/>
          <w:szCs w:val="24"/>
          <w:lang w:val="fr-CI"/>
        </w:rPr>
        <w:sectPr w:rsidR="00BC1407" w:rsidRPr="004366FD" w:rsidSect="00F110E9">
          <w:footerReference w:type="default" r:id="rId11"/>
          <w:pgSz w:w="16838" w:h="11906" w:orient="landscape"/>
          <w:pgMar w:top="1800" w:right="1080" w:bottom="1800" w:left="1253" w:header="720" w:footer="720" w:gutter="0"/>
          <w:cols w:space="720"/>
          <w:docGrid w:linePitch="360"/>
        </w:sectPr>
      </w:pPr>
    </w:p>
    <w:p w:rsidR="004366FD" w:rsidRPr="004366FD" w:rsidRDefault="004366FD" w:rsidP="00AE2F12">
      <w:pPr>
        <w:spacing w:after="0" w:line="240" w:lineRule="auto"/>
        <w:jc w:val="both"/>
        <w:rPr>
          <w:rFonts w:ascii="Arial" w:eastAsia="Calibri" w:hAnsi="Arial" w:cs="Arial"/>
          <w:b/>
          <w:bCs/>
          <w:sz w:val="24"/>
          <w:szCs w:val="24"/>
          <w:lang w:val="fr-CI"/>
        </w:rPr>
      </w:pPr>
    </w:p>
    <w:p w:rsidR="007552BE" w:rsidRPr="004366FD" w:rsidRDefault="007552BE" w:rsidP="0026525D">
      <w:pPr>
        <w:pStyle w:val="ListParagraph"/>
        <w:numPr>
          <w:ilvl w:val="0"/>
          <w:numId w:val="29"/>
        </w:numPr>
        <w:spacing w:after="0" w:line="240" w:lineRule="auto"/>
        <w:ind w:hanging="720"/>
        <w:rPr>
          <w:rFonts w:ascii="Arial" w:eastAsia="Calibri" w:hAnsi="Arial" w:cs="Arial"/>
          <w:b/>
          <w:bCs/>
          <w:sz w:val="24"/>
          <w:szCs w:val="24"/>
          <w:lang w:val="fr-CI"/>
        </w:rPr>
      </w:pPr>
      <w:r w:rsidRPr="004366FD">
        <w:rPr>
          <w:rFonts w:ascii="Arial" w:eastAsia="Calibri" w:hAnsi="Arial" w:cs="Arial"/>
          <w:b/>
          <w:bCs/>
          <w:sz w:val="24"/>
          <w:szCs w:val="24"/>
          <w:lang w:val="fr-CI"/>
        </w:rPr>
        <w:t>Rapport d’état d’avancement/</w:t>
      </w:r>
      <w:r w:rsidRPr="00750DF1">
        <w:rPr>
          <w:rFonts w:ascii="Arial" w:eastAsia="Calibri" w:hAnsi="Arial" w:cs="Arial"/>
          <w:b/>
          <w:bCs/>
          <w:sz w:val="24"/>
          <w:szCs w:val="24"/>
          <w:lang w:val="fr-CI"/>
        </w:rPr>
        <w:t>Mesures soumise</w:t>
      </w:r>
      <w:r w:rsidR="00E10622" w:rsidRPr="00750DF1">
        <w:rPr>
          <w:rFonts w:ascii="Arial" w:eastAsia="Calibri" w:hAnsi="Arial" w:cs="Arial"/>
          <w:b/>
          <w:bCs/>
          <w:sz w:val="24"/>
          <w:szCs w:val="24"/>
          <w:lang w:val="fr-CI"/>
        </w:rPr>
        <w:t>s</w:t>
      </w:r>
      <w:r w:rsidRPr="00750DF1">
        <w:rPr>
          <w:rFonts w:ascii="Arial" w:eastAsia="Calibri" w:hAnsi="Arial" w:cs="Arial"/>
          <w:b/>
          <w:bCs/>
          <w:sz w:val="24"/>
          <w:szCs w:val="24"/>
          <w:lang w:val="fr-CI"/>
        </w:rPr>
        <w:t xml:space="preserve"> aux</w:t>
      </w:r>
      <w:r w:rsidRPr="004366FD">
        <w:rPr>
          <w:rFonts w:ascii="Arial" w:eastAsia="Calibri" w:hAnsi="Arial" w:cs="Arial"/>
          <w:b/>
          <w:bCs/>
          <w:sz w:val="24"/>
          <w:szCs w:val="24"/>
          <w:lang w:val="fr-CI"/>
        </w:rPr>
        <w:t xml:space="preserve"> organes délibérants de l’UA pour examen </w:t>
      </w:r>
    </w:p>
    <w:p w:rsidR="007552BE" w:rsidRPr="004366FD" w:rsidRDefault="007552BE" w:rsidP="00AE2F12">
      <w:pPr>
        <w:spacing w:after="0" w:line="240" w:lineRule="auto"/>
        <w:jc w:val="both"/>
        <w:rPr>
          <w:rFonts w:ascii="Arial" w:hAnsi="Arial" w:cs="Arial"/>
          <w:sz w:val="24"/>
          <w:szCs w:val="24"/>
          <w:lang w:val="fr-CI"/>
        </w:rPr>
      </w:pPr>
    </w:p>
    <w:p w:rsidR="007552BE" w:rsidRPr="004366FD" w:rsidRDefault="007552BE" w:rsidP="0026525D">
      <w:pPr>
        <w:pStyle w:val="ListParagraph"/>
        <w:numPr>
          <w:ilvl w:val="1"/>
          <w:numId w:val="26"/>
        </w:numPr>
        <w:spacing w:after="0" w:line="240" w:lineRule="auto"/>
        <w:ind w:left="1418" w:hanging="709"/>
        <w:jc w:val="both"/>
        <w:rPr>
          <w:rFonts w:ascii="Arial" w:eastAsia="Calibri" w:hAnsi="Arial" w:cs="Arial"/>
          <w:b/>
          <w:bCs/>
          <w:sz w:val="24"/>
          <w:szCs w:val="24"/>
          <w:lang w:val="fr-CI"/>
        </w:rPr>
      </w:pPr>
      <w:r w:rsidRPr="004366FD">
        <w:rPr>
          <w:rFonts w:ascii="Arial" w:eastAsia="Calibri" w:hAnsi="Arial" w:cs="Arial"/>
          <w:b/>
          <w:bCs/>
          <w:sz w:val="24"/>
          <w:szCs w:val="24"/>
          <w:lang w:val="fr-CI"/>
        </w:rPr>
        <w:t>Internalisation de l’Agenda 2063</w:t>
      </w:r>
    </w:p>
    <w:p w:rsidR="007552BE" w:rsidRPr="004366FD" w:rsidRDefault="007552BE" w:rsidP="00AE2F12">
      <w:pPr>
        <w:spacing w:after="0" w:line="240" w:lineRule="auto"/>
        <w:jc w:val="both"/>
        <w:rPr>
          <w:rFonts w:ascii="Arial" w:hAnsi="Arial" w:cs="Arial"/>
          <w:sz w:val="24"/>
          <w:szCs w:val="24"/>
          <w:lang w:val="fr-CI"/>
        </w:rPr>
      </w:pPr>
    </w:p>
    <w:p w:rsidR="007552BE" w:rsidRPr="004366FD" w:rsidRDefault="007552BE" w:rsidP="004254DD">
      <w:pPr>
        <w:numPr>
          <w:ilvl w:val="0"/>
          <w:numId w:val="10"/>
        </w:numPr>
        <w:spacing w:after="0" w:line="240" w:lineRule="auto"/>
        <w:ind w:left="1985" w:hanging="567"/>
        <w:contextualSpacing/>
        <w:jc w:val="both"/>
        <w:rPr>
          <w:rFonts w:ascii="Arial" w:hAnsi="Arial" w:cs="Arial"/>
          <w:b/>
          <w:i/>
          <w:sz w:val="24"/>
          <w:szCs w:val="24"/>
          <w:lang w:val="fr-CI"/>
        </w:rPr>
      </w:pPr>
      <w:r w:rsidRPr="004366FD">
        <w:rPr>
          <w:rFonts w:ascii="Arial" w:hAnsi="Arial" w:cs="Arial"/>
          <w:b/>
          <w:i/>
          <w:sz w:val="24"/>
          <w:szCs w:val="24"/>
          <w:lang w:val="fr-CI"/>
        </w:rPr>
        <w:t>Internalisation au niveau des États membres</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D24221">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 premier Plan décennal de mise en œuvre de l’Agenda 2063 est de plus en plus intégré dans les cadres nationaux de planification des États membres. Cela est démontré par le grand enthousiasme dans les 3</w:t>
      </w:r>
      <w:r w:rsidR="00D24221">
        <w:rPr>
          <w:rFonts w:ascii="Arial" w:hAnsi="Arial" w:cs="Arial"/>
          <w:sz w:val="24"/>
          <w:szCs w:val="24"/>
          <w:lang w:val="fr-CI"/>
        </w:rPr>
        <w:t>2</w:t>
      </w:r>
      <w:r w:rsidRPr="004366FD">
        <w:rPr>
          <w:rFonts w:ascii="Arial" w:hAnsi="Arial" w:cs="Arial"/>
          <w:sz w:val="24"/>
          <w:szCs w:val="24"/>
          <w:lang w:val="fr-CI"/>
        </w:rPr>
        <w:t xml:space="preserve"> pays visités, la bonne presse auprès du public au plus haut niveau, ainsi que par la réponse positive qu’a noté</w:t>
      </w:r>
      <w:r w:rsidR="00BF6120">
        <w:rPr>
          <w:rFonts w:ascii="Arial" w:hAnsi="Arial" w:cs="Arial"/>
          <w:sz w:val="24"/>
          <w:szCs w:val="24"/>
          <w:lang w:val="fr-CI"/>
        </w:rPr>
        <w:t>e</w:t>
      </w:r>
      <w:r w:rsidRPr="004366FD">
        <w:rPr>
          <w:rFonts w:ascii="Arial" w:hAnsi="Arial" w:cs="Arial"/>
          <w:sz w:val="24"/>
          <w:szCs w:val="24"/>
          <w:lang w:val="fr-CI"/>
        </w:rPr>
        <w:t xml:space="preserve"> la Commission.</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Les objectifs visés par les missions d’internalisation sont les suivants :</w:t>
      </w:r>
    </w:p>
    <w:p w:rsidR="004254DD" w:rsidRPr="004366FD" w:rsidRDefault="004254DD" w:rsidP="00AE2F12">
      <w:pPr>
        <w:spacing w:after="0" w:line="240" w:lineRule="auto"/>
        <w:contextualSpacing/>
        <w:jc w:val="both"/>
        <w:rPr>
          <w:rFonts w:ascii="Arial" w:hAnsi="Arial" w:cs="Arial"/>
          <w:sz w:val="24"/>
          <w:szCs w:val="24"/>
          <w:lang w:val="fr-CI"/>
        </w:rPr>
      </w:pPr>
    </w:p>
    <w:p w:rsidR="007552BE" w:rsidRPr="004366FD" w:rsidRDefault="004254DD" w:rsidP="004254DD">
      <w:pPr>
        <w:numPr>
          <w:ilvl w:val="0"/>
          <w:numId w:val="9"/>
        </w:numPr>
        <w:spacing w:after="0" w:line="240" w:lineRule="auto"/>
        <w:ind w:left="1276" w:hanging="567"/>
        <w:contextualSpacing/>
        <w:jc w:val="both"/>
        <w:rPr>
          <w:rFonts w:ascii="Arial" w:hAnsi="Arial" w:cs="Arial"/>
          <w:sz w:val="24"/>
          <w:szCs w:val="24"/>
          <w:lang w:val="fr-CI"/>
        </w:rPr>
      </w:pPr>
      <w:r>
        <w:rPr>
          <w:rFonts w:ascii="Arial" w:hAnsi="Arial" w:cs="Arial"/>
          <w:sz w:val="24"/>
          <w:szCs w:val="24"/>
          <w:lang w:val="fr-CI"/>
        </w:rPr>
        <w:t>r</w:t>
      </w:r>
      <w:r w:rsidR="007552BE" w:rsidRPr="004366FD">
        <w:rPr>
          <w:rFonts w:ascii="Arial" w:hAnsi="Arial" w:cs="Arial"/>
          <w:sz w:val="24"/>
          <w:szCs w:val="24"/>
          <w:lang w:val="fr-CI"/>
        </w:rPr>
        <w:t>enforcer la prise de conscience, l’engagement et l’appropriation par les institutions étatiques</w:t>
      </w:r>
      <w:r w:rsidR="00331E1D">
        <w:rPr>
          <w:rFonts w:ascii="Arial" w:hAnsi="Arial" w:cs="Arial"/>
          <w:sz w:val="24"/>
          <w:szCs w:val="24"/>
          <w:lang w:val="fr-CI"/>
        </w:rPr>
        <w:t>/</w:t>
      </w:r>
      <w:r w:rsidR="007552BE" w:rsidRPr="004366FD">
        <w:rPr>
          <w:rFonts w:ascii="Arial" w:hAnsi="Arial" w:cs="Arial"/>
          <w:sz w:val="24"/>
          <w:szCs w:val="24"/>
          <w:lang w:val="fr-CI"/>
        </w:rPr>
        <w:t xml:space="preserve">les citoyens de l’Agenda 2063 afin de </w:t>
      </w:r>
      <w:r w:rsidR="007552BE" w:rsidRPr="004366FD">
        <w:rPr>
          <w:rFonts w:ascii="Arial" w:hAnsi="Arial" w:cs="Arial"/>
          <w:bCs/>
          <w:sz w:val="24"/>
          <w:szCs w:val="24"/>
          <w:lang w:val="fr-CI"/>
        </w:rPr>
        <w:t>catalyser</w:t>
      </w:r>
      <w:r w:rsidR="007552BE" w:rsidRPr="004366FD">
        <w:rPr>
          <w:rFonts w:ascii="Arial" w:hAnsi="Arial" w:cs="Arial"/>
          <w:sz w:val="24"/>
          <w:szCs w:val="24"/>
          <w:lang w:val="fr-CI"/>
        </w:rPr>
        <w:t xml:space="preserve"> et de soutenir une dynamique de changement et de transformation ;</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4254DD" w:rsidP="004254DD">
      <w:pPr>
        <w:numPr>
          <w:ilvl w:val="0"/>
          <w:numId w:val="9"/>
        </w:numPr>
        <w:spacing w:after="0" w:line="240" w:lineRule="auto"/>
        <w:ind w:left="1276" w:hanging="567"/>
        <w:contextualSpacing/>
        <w:jc w:val="both"/>
        <w:rPr>
          <w:rFonts w:ascii="Arial" w:hAnsi="Arial" w:cs="Arial"/>
          <w:sz w:val="24"/>
          <w:szCs w:val="24"/>
          <w:lang w:val="fr-CI"/>
        </w:rPr>
      </w:pPr>
      <w:r>
        <w:rPr>
          <w:rFonts w:ascii="Arial" w:hAnsi="Arial" w:cs="Arial"/>
          <w:sz w:val="24"/>
          <w:szCs w:val="24"/>
          <w:lang w:val="fr-CI"/>
        </w:rPr>
        <w:t>v</w:t>
      </w:r>
      <w:r w:rsidR="007552BE" w:rsidRPr="004366FD">
        <w:rPr>
          <w:rFonts w:ascii="Arial" w:hAnsi="Arial" w:cs="Arial"/>
          <w:sz w:val="24"/>
          <w:szCs w:val="24"/>
          <w:lang w:val="fr-CI"/>
        </w:rPr>
        <w:t>eiller à ce que les États membres traduisent les engagements énoncés dans l’Agenda 2063 en visions nationales et en plans de développement et de transformation socio-économiques à moyen terme ; et</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4254DD" w:rsidP="004254DD">
      <w:pPr>
        <w:numPr>
          <w:ilvl w:val="0"/>
          <w:numId w:val="9"/>
        </w:numPr>
        <w:spacing w:after="0" w:line="240" w:lineRule="auto"/>
        <w:ind w:left="1276" w:hanging="567"/>
        <w:contextualSpacing/>
        <w:jc w:val="both"/>
        <w:rPr>
          <w:rFonts w:ascii="Arial" w:hAnsi="Arial" w:cs="Arial"/>
          <w:sz w:val="24"/>
          <w:szCs w:val="24"/>
          <w:lang w:val="fr-CI"/>
        </w:rPr>
      </w:pPr>
      <w:r>
        <w:rPr>
          <w:rFonts w:ascii="Arial" w:hAnsi="Arial" w:cs="Arial"/>
          <w:sz w:val="24"/>
          <w:szCs w:val="24"/>
          <w:lang w:val="fr-CI"/>
        </w:rPr>
        <w:t>f</w:t>
      </w:r>
      <w:r w:rsidR="007552BE" w:rsidRPr="004366FD">
        <w:rPr>
          <w:rFonts w:ascii="Arial" w:hAnsi="Arial" w:cs="Arial"/>
          <w:sz w:val="24"/>
          <w:szCs w:val="24"/>
          <w:lang w:val="fr-CI"/>
        </w:rPr>
        <w:t>aciliter les progrès collectifs enregistrés par les États membres dans la mise en œuvre de l’Agenda 2063, ce qui entraînera la transformation du continent et garantira que l’Afrique retrouve sa place légitime sur la scène mondiale, notamment sa capacité à financer son propre développement.</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D24221">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Les missions d’appui à l’internalisation dans les États membres ont permis de sensibiliser et d’aider les pays à entamer le processus d’intégration des objectifs, des priorités et des cibles des premiers Plans décennaux de mise en œuvre de l’Agenda 2063. À ce jour, 3</w:t>
      </w:r>
      <w:r w:rsidR="00D24221">
        <w:rPr>
          <w:rFonts w:ascii="Arial" w:hAnsi="Arial" w:cs="Arial"/>
          <w:sz w:val="24"/>
          <w:szCs w:val="24"/>
          <w:lang w:val="fr-CI"/>
        </w:rPr>
        <w:t>2</w:t>
      </w:r>
      <w:r w:rsidRPr="004366FD">
        <w:rPr>
          <w:rFonts w:ascii="Arial" w:hAnsi="Arial" w:cs="Arial"/>
          <w:sz w:val="24"/>
          <w:szCs w:val="24"/>
          <w:lang w:val="fr-CI"/>
        </w:rPr>
        <w:t xml:space="preserve"> pays ont reçu des missions d’appui menées par la Commission de l’UA.</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La liste des pays déjà couverts par les missions est la suivante :</w:t>
      </w:r>
    </w:p>
    <w:p w:rsidR="007552BE" w:rsidRPr="004366FD" w:rsidRDefault="007552BE" w:rsidP="00AE2F12">
      <w:pPr>
        <w:spacing w:after="0" w:line="240" w:lineRule="auto"/>
        <w:contextualSpacing/>
        <w:jc w:val="both"/>
        <w:rPr>
          <w:rFonts w:ascii="Arial" w:hAnsi="Arial" w:cs="Arial"/>
          <w:sz w:val="24"/>
          <w:szCs w:val="24"/>
          <w:lang w:val="fr-C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559"/>
        <w:gridCol w:w="1984"/>
        <w:gridCol w:w="1843"/>
      </w:tblGrid>
      <w:tr w:rsidR="007552BE" w:rsidRPr="004254DD" w:rsidTr="004254DD">
        <w:trPr>
          <w:jc w:val="center"/>
        </w:trPr>
        <w:tc>
          <w:tcPr>
            <w:tcW w:w="1980" w:type="dxa"/>
            <w:shd w:val="clear" w:color="auto" w:fill="auto"/>
            <w:vAlign w:val="center"/>
          </w:tcPr>
          <w:p w:rsidR="007552BE" w:rsidRPr="004254DD" w:rsidRDefault="007552BE" w:rsidP="004254DD">
            <w:pPr>
              <w:spacing w:after="0" w:line="240" w:lineRule="auto"/>
              <w:contextualSpacing/>
              <w:jc w:val="center"/>
              <w:rPr>
                <w:rFonts w:ascii="Arial" w:hAnsi="Arial" w:cs="Arial"/>
                <w:b/>
                <w:szCs w:val="24"/>
                <w:lang w:val="fr-CI"/>
              </w:rPr>
            </w:pPr>
            <w:r w:rsidRPr="004254DD">
              <w:rPr>
                <w:rFonts w:ascii="Arial" w:hAnsi="Arial" w:cs="Arial"/>
                <w:b/>
                <w:szCs w:val="24"/>
                <w:lang w:val="fr-CI"/>
              </w:rPr>
              <w:t>Afrique Centrale</w:t>
            </w:r>
          </w:p>
        </w:tc>
        <w:tc>
          <w:tcPr>
            <w:tcW w:w="1843" w:type="dxa"/>
            <w:shd w:val="clear" w:color="auto" w:fill="auto"/>
            <w:vAlign w:val="center"/>
          </w:tcPr>
          <w:p w:rsidR="007552BE" w:rsidRPr="004254DD" w:rsidRDefault="007552BE" w:rsidP="004254DD">
            <w:pPr>
              <w:spacing w:after="0" w:line="240" w:lineRule="auto"/>
              <w:contextualSpacing/>
              <w:jc w:val="center"/>
              <w:rPr>
                <w:rFonts w:ascii="Arial" w:hAnsi="Arial" w:cs="Arial"/>
                <w:b/>
                <w:szCs w:val="24"/>
                <w:lang w:val="fr-CI"/>
              </w:rPr>
            </w:pPr>
            <w:r w:rsidRPr="004254DD">
              <w:rPr>
                <w:rFonts w:ascii="Arial" w:hAnsi="Arial" w:cs="Arial"/>
                <w:b/>
                <w:szCs w:val="24"/>
                <w:lang w:val="fr-CI"/>
              </w:rPr>
              <w:t>Afrique de l’Est</w:t>
            </w:r>
          </w:p>
        </w:tc>
        <w:tc>
          <w:tcPr>
            <w:tcW w:w="1559" w:type="dxa"/>
            <w:shd w:val="clear" w:color="auto" w:fill="auto"/>
            <w:vAlign w:val="center"/>
          </w:tcPr>
          <w:p w:rsidR="007552BE" w:rsidRPr="004254DD" w:rsidRDefault="007552BE" w:rsidP="004254DD">
            <w:pPr>
              <w:spacing w:after="0" w:line="240" w:lineRule="auto"/>
              <w:contextualSpacing/>
              <w:jc w:val="center"/>
              <w:rPr>
                <w:rFonts w:ascii="Arial" w:hAnsi="Arial" w:cs="Arial"/>
                <w:b/>
                <w:szCs w:val="24"/>
                <w:lang w:val="fr-CI"/>
              </w:rPr>
            </w:pPr>
            <w:r w:rsidRPr="004254DD">
              <w:rPr>
                <w:rFonts w:ascii="Arial" w:hAnsi="Arial" w:cs="Arial"/>
                <w:b/>
                <w:szCs w:val="24"/>
                <w:lang w:val="fr-CI"/>
              </w:rPr>
              <w:t>Afrique du Nord</w:t>
            </w:r>
          </w:p>
        </w:tc>
        <w:tc>
          <w:tcPr>
            <w:tcW w:w="1984" w:type="dxa"/>
            <w:shd w:val="clear" w:color="auto" w:fill="auto"/>
            <w:vAlign w:val="center"/>
          </w:tcPr>
          <w:p w:rsidR="007552BE" w:rsidRPr="004254DD" w:rsidRDefault="007552BE" w:rsidP="004254DD">
            <w:pPr>
              <w:spacing w:after="0" w:line="240" w:lineRule="auto"/>
              <w:contextualSpacing/>
              <w:jc w:val="center"/>
              <w:rPr>
                <w:rFonts w:ascii="Arial" w:hAnsi="Arial" w:cs="Arial"/>
                <w:b/>
                <w:szCs w:val="24"/>
                <w:lang w:val="fr-CI"/>
              </w:rPr>
            </w:pPr>
            <w:r w:rsidRPr="004254DD">
              <w:rPr>
                <w:rFonts w:ascii="Arial" w:hAnsi="Arial" w:cs="Arial"/>
                <w:b/>
                <w:szCs w:val="24"/>
                <w:lang w:val="fr-CI"/>
              </w:rPr>
              <w:t>Afrique australe</w:t>
            </w:r>
          </w:p>
        </w:tc>
        <w:tc>
          <w:tcPr>
            <w:tcW w:w="1843" w:type="dxa"/>
            <w:shd w:val="clear" w:color="auto" w:fill="auto"/>
            <w:vAlign w:val="center"/>
          </w:tcPr>
          <w:p w:rsidR="007552BE" w:rsidRPr="004254DD" w:rsidRDefault="007552BE" w:rsidP="004254DD">
            <w:pPr>
              <w:spacing w:after="0" w:line="240" w:lineRule="auto"/>
              <w:contextualSpacing/>
              <w:jc w:val="center"/>
              <w:rPr>
                <w:rFonts w:ascii="Arial" w:hAnsi="Arial" w:cs="Arial"/>
                <w:b/>
                <w:szCs w:val="24"/>
                <w:lang w:val="fr-CI"/>
              </w:rPr>
            </w:pPr>
            <w:r w:rsidRPr="004254DD">
              <w:rPr>
                <w:rFonts w:ascii="Arial" w:hAnsi="Arial" w:cs="Arial"/>
                <w:b/>
                <w:szCs w:val="24"/>
                <w:lang w:val="fr-CI"/>
              </w:rPr>
              <w:t>Afrique de l’Ouest</w:t>
            </w:r>
          </w:p>
        </w:tc>
      </w:tr>
      <w:tr w:rsidR="007552BE" w:rsidRPr="004254DD" w:rsidTr="004366FD">
        <w:trPr>
          <w:jc w:val="center"/>
        </w:trPr>
        <w:tc>
          <w:tcPr>
            <w:tcW w:w="1980" w:type="dxa"/>
            <w:shd w:val="clear" w:color="auto" w:fill="auto"/>
          </w:tcPr>
          <w:p w:rsidR="007552BE" w:rsidRPr="004254DD" w:rsidRDefault="007552BE" w:rsidP="004254DD">
            <w:pPr>
              <w:pStyle w:val="ListParagraph"/>
              <w:numPr>
                <w:ilvl w:val="4"/>
                <w:numId w:val="18"/>
              </w:numPr>
              <w:tabs>
                <w:tab w:val="left" w:pos="454"/>
              </w:tabs>
              <w:spacing w:after="0" w:line="240" w:lineRule="auto"/>
              <w:ind w:left="454" w:hanging="454"/>
              <w:jc w:val="both"/>
              <w:rPr>
                <w:rFonts w:ascii="Arial" w:hAnsi="Arial" w:cs="Arial"/>
                <w:szCs w:val="24"/>
                <w:lang w:val="fr-CI"/>
              </w:rPr>
            </w:pPr>
            <w:r w:rsidRPr="004254DD">
              <w:rPr>
                <w:rFonts w:ascii="Arial" w:hAnsi="Arial" w:cs="Arial"/>
                <w:szCs w:val="24"/>
                <w:lang w:val="fr-CI"/>
              </w:rPr>
              <w:t>Cameroun</w:t>
            </w:r>
          </w:p>
          <w:p w:rsidR="007552BE" w:rsidRPr="004254DD" w:rsidRDefault="007552BE" w:rsidP="004254DD">
            <w:pPr>
              <w:pStyle w:val="ListParagraph"/>
              <w:numPr>
                <w:ilvl w:val="4"/>
                <w:numId w:val="18"/>
              </w:numPr>
              <w:tabs>
                <w:tab w:val="left" w:pos="454"/>
              </w:tabs>
              <w:spacing w:after="0" w:line="240" w:lineRule="auto"/>
              <w:ind w:left="454" w:hanging="454"/>
              <w:jc w:val="both"/>
              <w:rPr>
                <w:rFonts w:ascii="Arial" w:hAnsi="Arial" w:cs="Arial"/>
                <w:szCs w:val="24"/>
                <w:lang w:val="fr-CI"/>
              </w:rPr>
            </w:pPr>
            <w:r w:rsidRPr="004254DD">
              <w:rPr>
                <w:rFonts w:ascii="Arial" w:hAnsi="Arial" w:cs="Arial"/>
                <w:szCs w:val="24"/>
                <w:lang w:val="fr-CI"/>
              </w:rPr>
              <w:t>République du Congo</w:t>
            </w:r>
          </w:p>
          <w:p w:rsidR="007552BE" w:rsidRPr="004254DD" w:rsidRDefault="007552BE" w:rsidP="004254DD">
            <w:pPr>
              <w:pStyle w:val="ListParagraph"/>
              <w:numPr>
                <w:ilvl w:val="4"/>
                <w:numId w:val="18"/>
              </w:numPr>
              <w:tabs>
                <w:tab w:val="left" w:pos="454"/>
              </w:tabs>
              <w:spacing w:after="0" w:line="240" w:lineRule="auto"/>
              <w:ind w:left="454" w:hanging="454"/>
              <w:jc w:val="both"/>
              <w:rPr>
                <w:rFonts w:ascii="Arial" w:hAnsi="Arial" w:cs="Arial"/>
                <w:szCs w:val="24"/>
                <w:lang w:val="fr-CI"/>
              </w:rPr>
            </w:pPr>
            <w:r w:rsidRPr="004254DD">
              <w:rPr>
                <w:rFonts w:ascii="Arial" w:hAnsi="Arial" w:cs="Arial"/>
                <w:szCs w:val="24"/>
                <w:lang w:val="fr-CI"/>
              </w:rPr>
              <w:t>RDC</w:t>
            </w:r>
          </w:p>
          <w:p w:rsidR="007552BE" w:rsidRPr="004254DD" w:rsidRDefault="007552BE" w:rsidP="004254DD">
            <w:pPr>
              <w:pStyle w:val="ListParagraph"/>
              <w:numPr>
                <w:ilvl w:val="4"/>
                <w:numId w:val="18"/>
              </w:numPr>
              <w:tabs>
                <w:tab w:val="left" w:pos="454"/>
              </w:tabs>
              <w:spacing w:after="0" w:line="240" w:lineRule="auto"/>
              <w:ind w:left="454" w:hanging="454"/>
              <w:jc w:val="both"/>
              <w:rPr>
                <w:rFonts w:ascii="Arial" w:hAnsi="Arial" w:cs="Arial"/>
                <w:b/>
                <w:szCs w:val="24"/>
                <w:lang w:val="fr-CI"/>
              </w:rPr>
            </w:pPr>
            <w:r w:rsidRPr="004254DD">
              <w:rPr>
                <w:rFonts w:ascii="Arial" w:hAnsi="Arial" w:cs="Arial"/>
                <w:szCs w:val="24"/>
                <w:lang w:val="fr-CI"/>
              </w:rPr>
              <w:t>Sao Tomé-et-Principe</w:t>
            </w:r>
          </w:p>
        </w:tc>
        <w:tc>
          <w:tcPr>
            <w:tcW w:w="1843" w:type="dxa"/>
            <w:shd w:val="clear" w:color="auto" w:fill="auto"/>
          </w:tcPr>
          <w:p w:rsidR="007552BE" w:rsidRPr="004254DD" w:rsidRDefault="007552BE" w:rsidP="004254DD">
            <w:pPr>
              <w:pStyle w:val="ListParagraph"/>
              <w:numPr>
                <w:ilvl w:val="0"/>
                <w:numId w:val="30"/>
              </w:numPr>
              <w:spacing w:after="0" w:line="240" w:lineRule="auto"/>
              <w:ind w:left="459" w:hanging="425"/>
              <w:jc w:val="both"/>
              <w:rPr>
                <w:rFonts w:ascii="Arial" w:hAnsi="Arial" w:cs="Arial"/>
                <w:szCs w:val="24"/>
                <w:lang w:val="fr-CI"/>
              </w:rPr>
            </w:pPr>
            <w:r w:rsidRPr="004254DD">
              <w:rPr>
                <w:rFonts w:ascii="Arial" w:hAnsi="Arial" w:cs="Arial"/>
                <w:szCs w:val="24"/>
                <w:lang w:val="fr-CI"/>
              </w:rPr>
              <w:t>Comores</w:t>
            </w:r>
          </w:p>
          <w:p w:rsidR="007552BE" w:rsidRPr="004254DD" w:rsidRDefault="007552BE" w:rsidP="004254DD">
            <w:pPr>
              <w:pStyle w:val="ListParagraph"/>
              <w:numPr>
                <w:ilvl w:val="0"/>
                <w:numId w:val="30"/>
              </w:numPr>
              <w:spacing w:after="0" w:line="240" w:lineRule="auto"/>
              <w:ind w:left="459" w:hanging="425"/>
              <w:jc w:val="both"/>
              <w:rPr>
                <w:rFonts w:ascii="Arial" w:hAnsi="Arial" w:cs="Arial"/>
                <w:szCs w:val="24"/>
                <w:lang w:val="fr-CI"/>
              </w:rPr>
            </w:pPr>
            <w:r w:rsidRPr="004254DD">
              <w:rPr>
                <w:rFonts w:ascii="Arial" w:hAnsi="Arial" w:cs="Arial"/>
                <w:szCs w:val="24"/>
                <w:lang w:val="fr-CI"/>
              </w:rPr>
              <w:t>Djibouti</w:t>
            </w:r>
          </w:p>
          <w:p w:rsidR="007552BE" w:rsidRPr="004254DD" w:rsidRDefault="007552BE" w:rsidP="004254DD">
            <w:pPr>
              <w:pStyle w:val="ListParagraph"/>
              <w:numPr>
                <w:ilvl w:val="0"/>
                <w:numId w:val="30"/>
              </w:numPr>
              <w:spacing w:after="0" w:line="240" w:lineRule="auto"/>
              <w:ind w:left="459" w:hanging="425"/>
              <w:jc w:val="both"/>
              <w:rPr>
                <w:rFonts w:ascii="Arial" w:hAnsi="Arial" w:cs="Arial"/>
                <w:szCs w:val="24"/>
                <w:lang w:val="fr-CI"/>
              </w:rPr>
            </w:pPr>
            <w:r w:rsidRPr="004254DD">
              <w:rPr>
                <w:rFonts w:ascii="Arial" w:hAnsi="Arial" w:cs="Arial"/>
                <w:szCs w:val="24"/>
                <w:lang w:val="fr-CI"/>
              </w:rPr>
              <w:t>Érythrée</w:t>
            </w:r>
          </w:p>
          <w:p w:rsidR="007552BE" w:rsidRPr="004254DD" w:rsidRDefault="007552BE" w:rsidP="004254DD">
            <w:pPr>
              <w:pStyle w:val="ListParagraph"/>
              <w:numPr>
                <w:ilvl w:val="0"/>
                <w:numId w:val="30"/>
              </w:numPr>
              <w:spacing w:after="0" w:line="240" w:lineRule="auto"/>
              <w:ind w:left="459" w:hanging="425"/>
              <w:jc w:val="both"/>
              <w:rPr>
                <w:rFonts w:ascii="Arial" w:hAnsi="Arial" w:cs="Arial"/>
                <w:szCs w:val="24"/>
                <w:lang w:val="fr-CI"/>
              </w:rPr>
            </w:pPr>
            <w:r w:rsidRPr="004254DD">
              <w:rPr>
                <w:rFonts w:ascii="Arial" w:hAnsi="Arial" w:cs="Arial"/>
                <w:szCs w:val="24"/>
                <w:lang w:val="fr-CI"/>
              </w:rPr>
              <w:t>Kenya</w:t>
            </w:r>
          </w:p>
          <w:p w:rsidR="007552BE" w:rsidRPr="004254DD" w:rsidRDefault="007552BE" w:rsidP="004254DD">
            <w:pPr>
              <w:pStyle w:val="ListParagraph"/>
              <w:numPr>
                <w:ilvl w:val="0"/>
                <w:numId w:val="30"/>
              </w:numPr>
              <w:spacing w:after="0" w:line="240" w:lineRule="auto"/>
              <w:ind w:left="459" w:hanging="425"/>
              <w:jc w:val="both"/>
              <w:rPr>
                <w:rFonts w:ascii="Arial" w:hAnsi="Arial" w:cs="Arial"/>
                <w:szCs w:val="24"/>
                <w:lang w:val="fr-CI"/>
              </w:rPr>
            </w:pPr>
            <w:r w:rsidRPr="004254DD">
              <w:rPr>
                <w:rFonts w:ascii="Arial" w:hAnsi="Arial" w:cs="Arial"/>
                <w:szCs w:val="24"/>
                <w:lang w:val="fr-CI"/>
              </w:rPr>
              <w:t>Maurice</w:t>
            </w:r>
          </w:p>
          <w:p w:rsidR="007552BE" w:rsidRPr="004254DD" w:rsidRDefault="007552BE" w:rsidP="004254DD">
            <w:pPr>
              <w:pStyle w:val="ListParagraph"/>
              <w:numPr>
                <w:ilvl w:val="0"/>
                <w:numId w:val="30"/>
              </w:numPr>
              <w:spacing w:after="0" w:line="240" w:lineRule="auto"/>
              <w:ind w:left="459" w:hanging="425"/>
              <w:jc w:val="both"/>
              <w:rPr>
                <w:rFonts w:ascii="Arial" w:hAnsi="Arial" w:cs="Arial"/>
                <w:szCs w:val="24"/>
                <w:lang w:val="fr-CI"/>
              </w:rPr>
            </w:pPr>
            <w:r w:rsidRPr="004254DD">
              <w:rPr>
                <w:rFonts w:ascii="Arial" w:hAnsi="Arial" w:cs="Arial"/>
                <w:szCs w:val="24"/>
                <w:lang w:val="fr-CI"/>
              </w:rPr>
              <w:t>Le Rwanda</w:t>
            </w:r>
          </w:p>
          <w:p w:rsidR="007552BE" w:rsidRPr="004254DD" w:rsidRDefault="007552BE" w:rsidP="004254DD">
            <w:pPr>
              <w:pStyle w:val="ListParagraph"/>
              <w:numPr>
                <w:ilvl w:val="0"/>
                <w:numId w:val="30"/>
              </w:numPr>
              <w:spacing w:after="0" w:line="240" w:lineRule="auto"/>
              <w:ind w:left="459" w:hanging="425"/>
              <w:jc w:val="both"/>
              <w:rPr>
                <w:rFonts w:ascii="Arial" w:hAnsi="Arial" w:cs="Arial"/>
                <w:szCs w:val="24"/>
                <w:lang w:val="fr-CI"/>
              </w:rPr>
            </w:pPr>
            <w:r w:rsidRPr="004254DD">
              <w:rPr>
                <w:rFonts w:ascii="Arial" w:hAnsi="Arial" w:cs="Arial"/>
                <w:szCs w:val="24"/>
                <w:lang w:val="fr-CI"/>
              </w:rPr>
              <w:t>Seychelles</w:t>
            </w:r>
          </w:p>
          <w:p w:rsidR="007552BE" w:rsidRPr="004254DD" w:rsidRDefault="007552BE" w:rsidP="004254DD">
            <w:pPr>
              <w:pStyle w:val="ListParagraph"/>
              <w:numPr>
                <w:ilvl w:val="0"/>
                <w:numId w:val="30"/>
              </w:numPr>
              <w:spacing w:after="0" w:line="240" w:lineRule="auto"/>
              <w:ind w:left="459" w:hanging="425"/>
              <w:jc w:val="both"/>
              <w:rPr>
                <w:rFonts w:ascii="Arial" w:hAnsi="Arial" w:cs="Arial"/>
                <w:b/>
                <w:szCs w:val="24"/>
                <w:lang w:val="fr-CI"/>
              </w:rPr>
            </w:pPr>
            <w:r w:rsidRPr="004254DD">
              <w:rPr>
                <w:rFonts w:ascii="Arial" w:hAnsi="Arial" w:cs="Arial"/>
                <w:szCs w:val="24"/>
                <w:lang w:val="fr-CI"/>
              </w:rPr>
              <w:t>Soudan</w:t>
            </w:r>
          </w:p>
        </w:tc>
        <w:tc>
          <w:tcPr>
            <w:tcW w:w="1559" w:type="dxa"/>
            <w:shd w:val="clear" w:color="auto" w:fill="auto"/>
          </w:tcPr>
          <w:p w:rsidR="007552BE" w:rsidRDefault="007552BE" w:rsidP="004254DD">
            <w:pPr>
              <w:pStyle w:val="ListParagraph"/>
              <w:numPr>
                <w:ilvl w:val="0"/>
                <w:numId w:val="31"/>
              </w:numPr>
              <w:spacing w:after="0" w:line="240" w:lineRule="auto"/>
              <w:ind w:left="329" w:hanging="329"/>
              <w:jc w:val="both"/>
              <w:rPr>
                <w:rFonts w:ascii="Arial" w:hAnsi="Arial" w:cs="Arial"/>
                <w:szCs w:val="24"/>
                <w:lang w:val="fr-CI"/>
              </w:rPr>
            </w:pPr>
            <w:r w:rsidRPr="004254DD">
              <w:rPr>
                <w:rFonts w:ascii="Arial" w:hAnsi="Arial" w:cs="Arial"/>
                <w:szCs w:val="24"/>
                <w:lang w:val="fr-CI"/>
              </w:rPr>
              <w:t>Algérie</w:t>
            </w:r>
          </w:p>
          <w:p w:rsidR="007552BE" w:rsidRPr="004254DD" w:rsidRDefault="004254DD" w:rsidP="004254DD">
            <w:pPr>
              <w:pStyle w:val="ListParagraph"/>
              <w:numPr>
                <w:ilvl w:val="0"/>
                <w:numId w:val="31"/>
              </w:numPr>
              <w:spacing w:after="0" w:line="240" w:lineRule="auto"/>
              <w:ind w:left="329" w:hanging="329"/>
              <w:jc w:val="both"/>
              <w:rPr>
                <w:rFonts w:ascii="Arial" w:hAnsi="Arial" w:cs="Arial"/>
                <w:szCs w:val="24"/>
                <w:lang w:val="fr-CI"/>
              </w:rPr>
            </w:pPr>
            <w:r w:rsidRPr="004254DD">
              <w:rPr>
                <w:rFonts w:ascii="Arial" w:hAnsi="Arial" w:cs="Arial"/>
                <w:szCs w:val="24"/>
                <w:lang w:val="fr-CI"/>
              </w:rPr>
              <w:t>Sahraoui</w:t>
            </w:r>
          </w:p>
        </w:tc>
        <w:tc>
          <w:tcPr>
            <w:tcW w:w="1984" w:type="dxa"/>
            <w:shd w:val="clear" w:color="auto" w:fill="auto"/>
          </w:tcPr>
          <w:p w:rsidR="007552BE" w:rsidRDefault="007552BE" w:rsidP="004254DD">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Botswana</w:t>
            </w:r>
          </w:p>
          <w:p w:rsidR="007552BE" w:rsidRDefault="007552BE" w:rsidP="00AE2F12">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Lesotho</w:t>
            </w:r>
          </w:p>
          <w:p w:rsidR="007552BE" w:rsidRDefault="007552BE" w:rsidP="00AE2F12">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Malawi</w:t>
            </w:r>
          </w:p>
          <w:p w:rsidR="007552BE" w:rsidRDefault="007552BE" w:rsidP="00AE2F12">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Mozambique</w:t>
            </w:r>
          </w:p>
          <w:p w:rsidR="007552BE" w:rsidRDefault="007552BE" w:rsidP="00AE2F12">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Namibie</w:t>
            </w:r>
          </w:p>
          <w:p w:rsidR="007552BE" w:rsidRDefault="007552BE" w:rsidP="00AE2F12">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Swaziland</w:t>
            </w:r>
          </w:p>
          <w:p w:rsidR="007552BE" w:rsidRDefault="007552BE" w:rsidP="00AE2F12">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Zambie</w:t>
            </w:r>
          </w:p>
          <w:p w:rsidR="007552BE" w:rsidRPr="004254DD" w:rsidRDefault="007552BE" w:rsidP="00AE2F12">
            <w:pPr>
              <w:pStyle w:val="ListParagraph"/>
              <w:numPr>
                <w:ilvl w:val="0"/>
                <w:numId w:val="32"/>
              </w:numPr>
              <w:spacing w:after="0" w:line="240" w:lineRule="auto"/>
              <w:ind w:left="459" w:hanging="425"/>
              <w:rPr>
                <w:rFonts w:ascii="Arial" w:hAnsi="Arial" w:cs="Arial"/>
                <w:szCs w:val="24"/>
                <w:lang w:val="fr-CI"/>
              </w:rPr>
            </w:pPr>
            <w:r w:rsidRPr="004254DD">
              <w:rPr>
                <w:rFonts w:ascii="Arial" w:hAnsi="Arial" w:cs="Arial"/>
                <w:szCs w:val="24"/>
                <w:lang w:val="fr-CI"/>
              </w:rPr>
              <w:t>Zimbabwe</w:t>
            </w:r>
          </w:p>
        </w:tc>
        <w:tc>
          <w:tcPr>
            <w:tcW w:w="1843" w:type="dxa"/>
            <w:shd w:val="clear" w:color="auto" w:fill="auto"/>
          </w:tcPr>
          <w:p w:rsidR="007552BE" w:rsidRDefault="007552BE" w:rsidP="004254DD">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Bénin</w:t>
            </w:r>
          </w:p>
          <w:p w:rsidR="007552BE"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Burkina Faso</w:t>
            </w:r>
          </w:p>
          <w:p w:rsidR="007552BE"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Côte d’Ivoir</w:t>
            </w:r>
            <w:r w:rsidR="004366FD" w:rsidRPr="004254DD">
              <w:rPr>
                <w:rFonts w:ascii="Arial" w:hAnsi="Arial" w:cs="Arial"/>
                <w:szCs w:val="24"/>
                <w:lang w:val="fr-CI"/>
              </w:rPr>
              <w:t>e</w:t>
            </w:r>
          </w:p>
          <w:p w:rsidR="007552BE"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Ghana</w:t>
            </w:r>
          </w:p>
          <w:p w:rsidR="007552BE"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La Gambie</w:t>
            </w:r>
          </w:p>
          <w:p w:rsidR="007552BE"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Libéria</w:t>
            </w:r>
          </w:p>
          <w:p w:rsidR="007552BE"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Nigeria</w:t>
            </w:r>
          </w:p>
          <w:p w:rsidR="007552BE"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Sénégal</w:t>
            </w:r>
          </w:p>
          <w:p w:rsidR="007552BE" w:rsidRPr="004254DD" w:rsidRDefault="007552BE" w:rsidP="00AE2F12">
            <w:pPr>
              <w:pStyle w:val="ListParagraph"/>
              <w:numPr>
                <w:ilvl w:val="0"/>
                <w:numId w:val="33"/>
              </w:numPr>
              <w:spacing w:after="0" w:line="240" w:lineRule="auto"/>
              <w:ind w:left="318" w:hanging="284"/>
              <w:rPr>
                <w:rFonts w:ascii="Arial" w:hAnsi="Arial" w:cs="Arial"/>
                <w:szCs w:val="24"/>
                <w:lang w:val="fr-CI"/>
              </w:rPr>
            </w:pPr>
            <w:r w:rsidRPr="004254DD">
              <w:rPr>
                <w:rFonts w:ascii="Arial" w:hAnsi="Arial" w:cs="Arial"/>
                <w:szCs w:val="24"/>
                <w:lang w:val="fr-CI"/>
              </w:rPr>
              <w:t>Togo</w:t>
            </w:r>
          </w:p>
        </w:tc>
      </w:tr>
    </w:tbl>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 xml:space="preserve">Comme on peut le constater, un nombre considérable de pays ont été couverts en Afrique de l’Ouest, en Afrique australe, en Afrique de l’Est et en Afrique centrale. En </w:t>
      </w:r>
      <w:r w:rsidRPr="004366FD">
        <w:rPr>
          <w:rFonts w:ascii="Arial" w:hAnsi="Arial" w:cs="Arial"/>
          <w:sz w:val="24"/>
          <w:szCs w:val="24"/>
          <w:lang w:val="fr-CI"/>
        </w:rPr>
        <w:lastRenderedPageBreak/>
        <w:t>ce qui concerne l’Afrique du Nord, les progrès réalisés ont été plus lents, jusqu’ici seuls deux pays ont été couverts. Les rapports de mission d’internalisation sont disponibles et sont actuellement transmis aux ambassades</w:t>
      </w:r>
      <w:r w:rsidR="00331E1D">
        <w:rPr>
          <w:rFonts w:ascii="Arial" w:hAnsi="Arial" w:cs="Arial"/>
          <w:sz w:val="24"/>
          <w:szCs w:val="24"/>
          <w:lang w:val="fr-CI"/>
        </w:rPr>
        <w:t>/</w:t>
      </w:r>
      <w:r w:rsidRPr="004366FD">
        <w:rPr>
          <w:rFonts w:ascii="Arial" w:hAnsi="Arial" w:cs="Arial"/>
          <w:sz w:val="24"/>
          <w:szCs w:val="24"/>
          <w:lang w:val="fr-CI"/>
        </w:rPr>
        <w:t>missions respectives basées à Addis</w:t>
      </w:r>
      <w:r w:rsidR="004366FD">
        <w:rPr>
          <w:rFonts w:ascii="Arial" w:hAnsi="Arial" w:cs="Arial"/>
          <w:sz w:val="24"/>
          <w:szCs w:val="24"/>
          <w:lang w:val="fr-CI"/>
        </w:rPr>
        <w:t>-Abeba</w:t>
      </w:r>
      <w:r w:rsidRPr="004366FD">
        <w:rPr>
          <w:rFonts w:ascii="Arial" w:hAnsi="Arial" w:cs="Arial"/>
          <w:sz w:val="24"/>
          <w:szCs w:val="24"/>
          <w:lang w:val="fr-CI"/>
        </w:rPr>
        <w:t xml:space="preserve"> pour que celles-ci les transmettent ultérieurement aux autorités nationales.</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D24221">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Afin de maintenir l’élan et de s’appuyer sur les actions convenues avec les pays au cours de la mission, la Commission entend organiser un atelier de consolidation en décembre pour les 3</w:t>
      </w:r>
      <w:r w:rsidR="00D24221">
        <w:rPr>
          <w:rFonts w:ascii="Arial" w:hAnsi="Arial" w:cs="Arial"/>
          <w:sz w:val="24"/>
          <w:szCs w:val="24"/>
          <w:lang w:val="fr-CI"/>
        </w:rPr>
        <w:t>2</w:t>
      </w:r>
      <w:r w:rsidRPr="004366FD">
        <w:rPr>
          <w:rFonts w:ascii="Arial" w:hAnsi="Arial" w:cs="Arial"/>
          <w:sz w:val="24"/>
          <w:szCs w:val="24"/>
          <w:lang w:val="fr-CI"/>
        </w:rPr>
        <w:t xml:space="preserve"> pays qui devraient être couverts. Cet atelier vise principalement à faire le point, à identifier les besoins en termes d’appui (notamment les outils et l’assistance technique), à élaborer des feuilles de route nationales et à fournir une plate-forme d’apprentissage mutuel.</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Les principaux défis rencontrés jusqu’ici en ce qui concerne le processus d’internalisation au niveau des États membres sont les suivants :</w:t>
      </w:r>
    </w:p>
    <w:p w:rsidR="004254DD" w:rsidRPr="004366FD" w:rsidRDefault="004254DD" w:rsidP="00AE2F12">
      <w:pPr>
        <w:spacing w:after="0" w:line="240" w:lineRule="auto"/>
        <w:contextualSpacing/>
        <w:jc w:val="both"/>
        <w:rPr>
          <w:rFonts w:ascii="Arial" w:hAnsi="Arial" w:cs="Arial"/>
          <w:sz w:val="24"/>
          <w:szCs w:val="24"/>
          <w:lang w:val="fr-CI"/>
        </w:rPr>
      </w:pPr>
    </w:p>
    <w:p w:rsidR="007552BE" w:rsidRPr="004366FD" w:rsidRDefault="004254DD" w:rsidP="004254DD">
      <w:pPr>
        <w:numPr>
          <w:ilvl w:val="0"/>
          <w:numId w:val="19"/>
        </w:numPr>
        <w:spacing w:after="0" w:line="240" w:lineRule="auto"/>
        <w:ind w:left="1276" w:hanging="567"/>
        <w:contextualSpacing/>
        <w:jc w:val="both"/>
        <w:rPr>
          <w:rFonts w:ascii="Arial" w:hAnsi="Arial" w:cs="Arial"/>
          <w:sz w:val="24"/>
          <w:szCs w:val="24"/>
          <w:lang w:val="fr-CI"/>
        </w:rPr>
      </w:pPr>
      <w:r>
        <w:rPr>
          <w:rFonts w:ascii="Arial" w:hAnsi="Arial" w:cs="Arial"/>
          <w:sz w:val="24"/>
          <w:szCs w:val="24"/>
          <w:lang w:val="fr-CI"/>
        </w:rPr>
        <w:t>l</w:t>
      </w:r>
      <w:r w:rsidR="007552BE" w:rsidRPr="004366FD">
        <w:rPr>
          <w:rFonts w:ascii="Arial" w:hAnsi="Arial" w:cs="Arial"/>
          <w:sz w:val="24"/>
          <w:szCs w:val="24"/>
          <w:lang w:val="fr-CI"/>
        </w:rPr>
        <w:t>’appui technique et financier fourni par les partenaires extérieurs, notamment par le système des Nations Unies, a permis de mettre plus d’accent sur les ODD au niveau national, ce qui pose un défi concernant l’internalisation du FTYIP de l’Agenda 2063 ;</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4254DD" w:rsidP="004254DD">
      <w:pPr>
        <w:numPr>
          <w:ilvl w:val="0"/>
          <w:numId w:val="19"/>
        </w:numPr>
        <w:spacing w:after="0" w:line="240" w:lineRule="auto"/>
        <w:ind w:left="1276" w:hanging="567"/>
        <w:contextualSpacing/>
        <w:jc w:val="both"/>
        <w:rPr>
          <w:rFonts w:ascii="Arial" w:hAnsi="Arial" w:cs="Arial"/>
          <w:sz w:val="24"/>
          <w:szCs w:val="24"/>
          <w:lang w:val="fr-CI"/>
        </w:rPr>
      </w:pPr>
      <w:r>
        <w:rPr>
          <w:rFonts w:ascii="Arial" w:hAnsi="Arial" w:cs="Arial"/>
          <w:sz w:val="24"/>
          <w:szCs w:val="24"/>
          <w:lang w:val="fr-CI"/>
        </w:rPr>
        <w:t>e</w:t>
      </w:r>
      <w:r w:rsidR="007552BE" w:rsidRPr="004366FD">
        <w:rPr>
          <w:rFonts w:ascii="Arial" w:hAnsi="Arial" w:cs="Arial"/>
          <w:sz w:val="24"/>
          <w:szCs w:val="24"/>
          <w:lang w:val="fr-CI"/>
        </w:rPr>
        <w:t>n conséquence, la sensibilisation aux ODD et la vulgarisation de celles-ci sont également p</w:t>
      </w:r>
      <w:r>
        <w:rPr>
          <w:rFonts w:ascii="Arial" w:hAnsi="Arial" w:cs="Arial"/>
          <w:sz w:val="24"/>
          <w:szCs w:val="24"/>
          <w:lang w:val="fr-CI"/>
        </w:rPr>
        <w:t>lus avancées dans certains pays ;</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4254DD" w:rsidP="004254DD">
      <w:pPr>
        <w:numPr>
          <w:ilvl w:val="0"/>
          <w:numId w:val="19"/>
        </w:numPr>
        <w:spacing w:after="0" w:line="240" w:lineRule="auto"/>
        <w:ind w:left="1276" w:hanging="567"/>
        <w:contextualSpacing/>
        <w:jc w:val="both"/>
        <w:rPr>
          <w:rFonts w:ascii="Arial" w:hAnsi="Arial" w:cs="Arial"/>
          <w:sz w:val="24"/>
          <w:szCs w:val="24"/>
          <w:lang w:val="fr-CI"/>
        </w:rPr>
      </w:pPr>
      <w:r>
        <w:rPr>
          <w:rFonts w:ascii="Arial" w:hAnsi="Arial" w:cs="Arial"/>
          <w:sz w:val="24"/>
          <w:szCs w:val="24"/>
          <w:lang w:val="fr-CI"/>
        </w:rPr>
        <w:t>l</w:t>
      </w:r>
      <w:r w:rsidR="007552BE" w:rsidRPr="004366FD">
        <w:rPr>
          <w:rFonts w:ascii="Arial" w:hAnsi="Arial" w:cs="Arial"/>
          <w:sz w:val="24"/>
          <w:szCs w:val="24"/>
          <w:lang w:val="fr-CI"/>
        </w:rPr>
        <w:t>es risques de cadres parallèles et concurrents au niveau national posent des défis aux États membres dans la mesure où ceux-ci cherchent à internaliser l’Agenda 2063 et les ODD.</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Néanmoins, la plupart des institutions au niveau des États membres considèrent l’Agenda 2063 comme un cadre plus complet qui est plus en adéquation avec leurs visions nationales du développement. Ils considèrent les ODD comme faisant partie de leurs engagements mondiaux qui convergent également avec l’Agenda 2063.</w:t>
      </w: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 </w:t>
      </w: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Afin de relever ces défis, un certain nombre de mesures ont été prises, dont la principale est la décision prise par le 9</w:t>
      </w:r>
      <w:r w:rsidRPr="004366FD">
        <w:rPr>
          <w:rFonts w:ascii="Arial" w:hAnsi="Arial" w:cs="Arial"/>
          <w:sz w:val="24"/>
          <w:szCs w:val="24"/>
          <w:vertAlign w:val="superscript"/>
          <w:lang w:val="fr-CI"/>
        </w:rPr>
        <w:t>e</w:t>
      </w:r>
      <w:r w:rsidRPr="004366FD">
        <w:rPr>
          <w:rFonts w:ascii="Arial" w:hAnsi="Arial" w:cs="Arial"/>
          <w:sz w:val="24"/>
          <w:szCs w:val="24"/>
          <w:lang w:val="fr-CI"/>
        </w:rPr>
        <w:t xml:space="preserve"> CTS sur les finances, les affaires monétaires, la planification et l’intégration économiques, qui s’est tenue du 4 au 6 avril 2016 à Addis-Abeba (Éthiopie) sur la nécessité d’un cadre intégré unique pour la mise en œuvre de l’Agenda 2063 et des ODD – voir encadré ci-dessous – et cela a été approuvé par la 27</w:t>
      </w:r>
      <w:r w:rsidRPr="004366FD">
        <w:rPr>
          <w:rFonts w:ascii="Arial" w:hAnsi="Arial" w:cs="Arial"/>
          <w:sz w:val="24"/>
          <w:szCs w:val="24"/>
          <w:vertAlign w:val="superscript"/>
          <w:lang w:val="fr-CI"/>
        </w:rPr>
        <w:t>e</w:t>
      </w:r>
      <w:r w:rsidRPr="004366FD">
        <w:rPr>
          <w:rFonts w:ascii="Arial" w:hAnsi="Arial" w:cs="Arial"/>
          <w:sz w:val="24"/>
          <w:szCs w:val="24"/>
          <w:lang w:val="fr-CI"/>
        </w:rPr>
        <w:t xml:space="preserve"> Conférence de l’Union à Kigali (Rwanda) en juillet 2016.</w:t>
      </w:r>
    </w:p>
    <w:p w:rsidR="007552BE" w:rsidRPr="004366FD" w:rsidRDefault="007552BE" w:rsidP="00AE2F12">
      <w:pPr>
        <w:spacing w:after="0" w:line="240" w:lineRule="auto"/>
        <w:contextualSpacing/>
        <w:jc w:val="both"/>
        <w:rPr>
          <w:rFonts w:ascii="Arial" w:hAnsi="Arial" w:cs="Arial"/>
          <w:sz w:val="24"/>
          <w:szCs w:val="24"/>
          <w:lang w:val="fr-CI"/>
        </w:rPr>
      </w:pPr>
    </w:p>
    <w:tbl>
      <w:tblPr>
        <w:tblStyle w:val="TableGrid"/>
        <w:tblW w:w="0" w:type="auto"/>
        <w:jc w:val="center"/>
        <w:tblLook w:val="04A0" w:firstRow="1" w:lastRow="0" w:firstColumn="1" w:lastColumn="0" w:noHBand="0" w:noVBand="1"/>
      </w:tblPr>
      <w:tblGrid>
        <w:gridCol w:w="7650"/>
      </w:tblGrid>
      <w:tr w:rsidR="007552BE" w:rsidRPr="00F05C47" w:rsidTr="004254DD">
        <w:trPr>
          <w:jc w:val="center"/>
        </w:trPr>
        <w:tc>
          <w:tcPr>
            <w:tcW w:w="7650" w:type="dxa"/>
          </w:tcPr>
          <w:p w:rsidR="007552BE" w:rsidRPr="004366FD" w:rsidRDefault="007552BE" w:rsidP="00AE2F12">
            <w:pPr>
              <w:widowControl w:val="0"/>
              <w:autoSpaceDE w:val="0"/>
              <w:autoSpaceDN w:val="0"/>
              <w:adjustRightInd w:val="0"/>
              <w:jc w:val="both"/>
              <w:rPr>
                <w:rFonts w:ascii="Helvetica" w:hAnsi="Helvetica" w:cs="Helvetica"/>
                <w:color w:val="3B3835"/>
                <w:sz w:val="20"/>
                <w:szCs w:val="20"/>
                <w:lang w:val="fr-CI"/>
              </w:rPr>
            </w:pPr>
            <w:r w:rsidRPr="004366FD">
              <w:rPr>
                <w:rFonts w:ascii="Helvetica" w:hAnsi="Helvetica" w:cs="Helvetica"/>
                <w:color w:val="3B3835"/>
                <w:sz w:val="20"/>
                <w:szCs w:val="20"/>
                <w:lang w:val="fr-CI"/>
              </w:rPr>
              <w:t>La neuvième Conférence annuelle conjointe du Comité technique spécialisé sur les finances, les affaires monétaires, la planification et l</w:t>
            </w:r>
            <w:r w:rsidR="00331E1D">
              <w:rPr>
                <w:rFonts w:ascii="Helvetica" w:hAnsi="Helvetica" w:cs="Helvetica"/>
                <w:color w:val="3B3835"/>
                <w:sz w:val="20"/>
                <w:szCs w:val="20"/>
                <w:lang w:val="fr-CI"/>
              </w:rPr>
              <w:t>’</w:t>
            </w:r>
            <w:r w:rsidRPr="004366FD">
              <w:rPr>
                <w:rFonts w:ascii="Helvetica" w:hAnsi="Helvetica" w:cs="Helvetica"/>
                <w:color w:val="3B3835"/>
                <w:sz w:val="20"/>
                <w:szCs w:val="20"/>
                <w:lang w:val="fr-CI"/>
              </w:rPr>
              <w:t>intégration économiques de l’Union africaine et de la Conférence des ministres africains des Finances, de la Planification et du Développement économique de la Commission économique pour l’Afrique, qui s</w:t>
            </w:r>
            <w:r w:rsidR="00331E1D">
              <w:rPr>
                <w:rFonts w:ascii="Helvetica" w:hAnsi="Helvetica" w:cs="Helvetica"/>
                <w:color w:val="3B3835"/>
                <w:sz w:val="20"/>
                <w:szCs w:val="20"/>
                <w:lang w:val="fr-CI"/>
              </w:rPr>
              <w:t>’</w:t>
            </w:r>
            <w:r w:rsidRPr="004366FD">
              <w:rPr>
                <w:rFonts w:ascii="Helvetica" w:hAnsi="Helvetica" w:cs="Helvetica"/>
                <w:color w:val="3B3835"/>
                <w:sz w:val="20"/>
                <w:szCs w:val="20"/>
                <w:lang w:val="fr-CI"/>
              </w:rPr>
              <w:t>est tenue à Addis-Abeba les 4 et 5 avril 2016 a</w:t>
            </w:r>
          </w:p>
          <w:p w:rsidR="007552BE" w:rsidRPr="004366FD" w:rsidRDefault="007552BE" w:rsidP="00AE2F12">
            <w:pPr>
              <w:widowControl w:val="0"/>
              <w:numPr>
                <w:ilvl w:val="0"/>
                <w:numId w:val="20"/>
              </w:numPr>
              <w:autoSpaceDE w:val="0"/>
              <w:autoSpaceDN w:val="0"/>
              <w:adjustRightInd w:val="0"/>
              <w:jc w:val="both"/>
              <w:rPr>
                <w:rFonts w:ascii="Calibri" w:hAnsi="Calibri" w:cs="Calibri"/>
                <w:sz w:val="20"/>
                <w:szCs w:val="20"/>
                <w:lang w:val="fr-CI"/>
              </w:rPr>
            </w:pPr>
            <w:r w:rsidRPr="004366FD">
              <w:rPr>
                <w:rFonts w:ascii="Calibri" w:hAnsi="Calibri" w:cs="Calibri"/>
                <w:sz w:val="20"/>
                <w:szCs w:val="20"/>
                <w:lang w:val="fr-CI"/>
              </w:rPr>
              <w:t>reconnu que l’Agenda 2063 et l’Agenda 2030 pour le développement durable offrent à l</w:t>
            </w:r>
            <w:r w:rsidR="00331E1D">
              <w:rPr>
                <w:rFonts w:ascii="Calibri" w:hAnsi="Calibri" w:cs="Calibri"/>
                <w:sz w:val="20"/>
                <w:szCs w:val="20"/>
                <w:lang w:val="fr-CI"/>
              </w:rPr>
              <w:t>’</w:t>
            </w:r>
            <w:r w:rsidRPr="004366FD">
              <w:rPr>
                <w:rFonts w:ascii="Calibri" w:hAnsi="Calibri" w:cs="Calibri"/>
                <w:sz w:val="20"/>
                <w:szCs w:val="20"/>
                <w:lang w:val="fr-CI"/>
              </w:rPr>
              <w:t>Afrique une occasion unique de parvenir à un développement inclusif et transformateur avec équité.</w:t>
            </w:r>
          </w:p>
          <w:p w:rsidR="007552BE" w:rsidRPr="004366FD" w:rsidRDefault="007552BE" w:rsidP="00AE2F12">
            <w:pPr>
              <w:widowControl w:val="0"/>
              <w:numPr>
                <w:ilvl w:val="0"/>
                <w:numId w:val="20"/>
              </w:numPr>
              <w:autoSpaceDE w:val="0"/>
              <w:autoSpaceDN w:val="0"/>
              <w:adjustRightInd w:val="0"/>
              <w:jc w:val="both"/>
              <w:rPr>
                <w:rFonts w:ascii="Arial" w:hAnsi="Arial" w:cs="Arial"/>
                <w:sz w:val="20"/>
                <w:szCs w:val="24"/>
                <w:lang w:val="fr-CI"/>
              </w:rPr>
            </w:pPr>
            <w:r w:rsidRPr="004366FD">
              <w:rPr>
                <w:rFonts w:ascii="Calibri" w:hAnsi="Calibri" w:cs="Calibri"/>
                <w:sz w:val="20"/>
                <w:szCs w:val="20"/>
                <w:lang w:val="fr-CI"/>
              </w:rPr>
              <w:t>souligné l</w:t>
            </w:r>
            <w:r w:rsidR="00331E1D">
              <w:rPr>
                <w:rFonts w:ascii="Calibri" w:hAnsi="Calibri" w:cs="Calibri"/>
                <w:sz w:val="20"/>
                <w:szCs w:val="20"/>
                <w:lang w:val="fr-CI"/>
              </w:rPr>
              <w:t>’</w:t>
            </w:r>
            <w:r w:rsidRPr="004366FD">
              <w:rPr>
                <w:rFonts w:ascii="Calibri" w:hAnsi="Calibri" w:cs="Calibri"/>
                <w:sz w:val="20"/>
                <w:szCs w:val="20"/>
                <w:lang w:val="fr-CI"/>
              </w:rPr>
              <w:t>importance pour l</w:t>
            </w:r>
            <w:r w:rsidR="00331E1D">
              <w:rPr>
                <w:rFonts w:ascii="Calibri" w:hAnsi="Calibri" w:cs="Calibri"/>
                <w:sz w:val="20"/>
                <w:szCs w:val="20"/>
                <w:lang w:val="fr-CI"/>
              </w:rPr>
              <w:t>’</w:t>
            </w:r>
            <w:r w:rsidRPr="004366FD">
              <w:rPr>
                <w:rFonts w:ascii="Calibri" w:hAnsi="Calibri" w:cs="Calibri"/>
                <w:sz w:val="20"/>
                <w:szCs w:val="20"/>
                <w:lang w:val="fr-CI"/>
              </w:rPr>
              <w:t>Afrique d’adopter une stratégie cohérente pour la mise en œuvre efficace et coordonnée de l’Agenda 2063 et de l’Agenda 2030.</w:t>
            </w:r>
          </w:p>
          <w:p w:rsidR="007552BE" w:rsidRPr="004366FD" w:rsidRDefault="007552BE" w:rsidP="00AE2F12">
            <w:pPr>
              <w:widowControl w:val="0"/>
              <w:autoSpaceDE w:val="0"/>
              <w:autoSpaceDN w:val="0"/>
              <w:adjustRightInd w:val="0"/>
              <w:ind w:left="720"/>
              <w:jc w:val="both"/>
              <w:rPr>
                <w:rFonts w:ascii="Arial" w:hAnsi="Arial" w:cs="Arial"/>
                <w:sz w:val="20"/>
                <w:szCs w:val="24"/>
                <w:lang w:val="fr-CI"/>
              </w:rPr>
            </w:pPr>
          </w:p>
        </w:tc>
      </w:tr>
    </w:tbl>
    <w:p w:rsidR="007552BE" w:rsidRPr="004366FD" w:rsidRDefault="007552BE" w:rsidP="00AE2F12">
      <w:pPr>
        <w:spacing w:after="0" w:line="240" w:lineRule="auto"/>
        <w:contextualSpacing/>
        <w:jc w:val="both"/>
        <w:rPr>
          <w:rFonts w:ascii="Arial" w:hAnsi="Arial" w:cs="Arial"/>
          <w:sz w:val="24"/>
          <w:szCs w:val="24"/>
          <w:lang w:val="fr-CI"/>
        </w:rPr>
      </w:pPr>
    </w:p>
    <w:p w:rsidR="007552BE" w:rsidRPr="00750DF1" w:rsidRDefault="007552BE" w:rsidP="004254DD">
      <w:pPr>
        <w:numPr>
          <w:ilvl w:val="0"/>
          <w:numId w:val="10"/>
        </w:numPr>
        <w:spacing w:after="0" w:line="240" w:lineRule="auto"/>
        <w:ind w:left="1985" w:hanging="567"/>
        <w:contextualSpacing/>
        <w:jc w:val="both"/>
        <w:rPr>
          <w:rFonts w:ascii="Arial" w:eastAsia="Calibri" w:hAnsi="Arial" w:cs="Arial"/>
          <w:b/>
          <w:bCs/>
          <w:i/>
          <w:sz w:val="24"/>
          <w:szCs w:val="24"/>
          <w:lang w:val="fr-CI"/>
        </w:rPr>
      </w:pPr>
      <w:r w:rsidRPr="00750DF1">
        <w:rPr>
          <w:rFonts w:ascii="Arial" w:eastAsia="Calibri" w:hAnsi="Arial" w:cs="Arial"/>
          <w:b/>
          <w:bCs/>
          <w:i/>
          <w:sz w:val="24"/>
          <w:szCs w:val="24"/>
          <w:lang w:val="fr-CI"/>
        </w:rPr>
        <w:t>L’internalisation par la CUA, d’autres organes de l’UA et les CER</w:t>
      </w:r>
    </w:p>
    <w:p w:rsidR="007552BE" w:rsidRPr="00750DF1"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750DF1">
        <w:rPr>
          <w:rFonts w:ascii="Arial" w:hAnsi="Arial" w:cs="Arial"/>
          <w:sz w:val="24"/>
          <w:szCs w:val="24"/>
          <w:lang w:val="fr-CI"/>
        </w:rPr>
        <w:t>À l’initiative de la Présidente de la Commission, l’effort d’internalisation a été étendu à l’ensemble des organes de l’UA conformément à l’appel lancé par les 25</w:t>
      </w:r>
      <w:r w:rsidR="00BF6120" w:rsidRPr="00AE2F12">
        <w:rPr>
          <w:rFonts w:ascii="Arial" w:hAnsi="Arial" w:cs="Arial"/>
          <w:sz w:val="24"/>
          <w:szCs w:val="24"/>
          <w:vertAlign w:val="superscript"/>
          <w:lang w:val="fr-CI"/>
        </w:rPr>
        <w:t>e</w:t>
      </w:r>
      <w:r w:rsidRPr="00AE2F12">
        <w:rPr>
          <w:rFonts w:ascii="Arial" w:hAnsi="Arial" w:cs="Arial"/>
          <w:sz w:val="24"/>
          <w:szCs w:val="24"/>
          <w:vertAlign w:val="superscript"/>
          <w:lang w:val="fr-CI"/>
        </w:rPr>
        <w:t xml:space="preserve"> </w:t>
      </w:r>
      <w:r w:rsidRPr="00750DF1">
        <w:rPr>
          <w:rFonts w:ascii="Arial" w:hAnsi="Arial" w:cs="Arial"/>
          <w:sz w:val="24"/>
          <w:szCs w:val="24"/>
          <w:lang w:val="fr-CI"/>
        </w:rPr>
        <w:t>et 26</w:t>
      </w:r>
      <w:r w:rsidRPr="00750DF1">
        <w:rPr>
          <w:rFonts w:ascii="Arial" w:hAnsi="Arial" w:cs="Arial"/>
          <w:sz w:val="24"/>
          <w:szCs w:val="24"/>
          <w:vertAlign w:val="superscript"/>
          <w:lang w:val="fr-CI"/>
        </w:rPr>
        <w:t>e</w:t>
      </w:r>
      <w:r w:rsidRPr="00750DF1">
        <w:rPr>
          <w:rFonts w:ascii="Arial" w:hAnsi="Arial" w:cs="Arial"/>
          <w:sz w:val="24"/>
          <w:szCs w:val="24"/>
          <w:lang w:val="fr-CI"/>
        </w:rPr>
        <w:t xml:space="preserve"> Sommets selon lequel tous les organes de l’UA devraient aligner leurs travaux sur le FTYIP du Plan d’action 2063 d’ici juin 2016. La Direction de la planification stratégique de la Commission (SPPMERM) a de ce fait mené un exercice visant à faciliter le processus d’alignement au sein des départements/directions/unités de la CUA conformément à cette exigence. Des missions de soutien ont également été menées auprès des organes de l’UA suivants : Agence du NEPAD, PAP, Commission de lutte contre la corruption, Cour africaine des droits de l’homme et des peuples, Commission africaine des droits de l’homme et des peuples, Commission africaine des droits de l’enfant et l’ECOSSOC.</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Les résultats de l’exercice d’alignement/de cartographie mené par les départements de la CUA et d’autres organes de l’UA ont été présentés à l’atelier conjoint tenu à Addis-Abeba (Éthiopie) les 29 et 30 septembre 2016. En outre, toutes les CER et les autres organes de l’UA ont pris part à l’atelier afin de reproduire l’exercice.</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Au cours de l’atelier susmentionné, les résultats de l’auto-évaluation de la Commission sur la mise en œuvre de son plan stratégique (2014-2017) ont également été examinés. Cet exercice a permis non seulement de faire le point sur les progrès réalisés, mais a également aidé la Commission à tirer des enseignements utiles qui servent actuellement à orienter l’élaboration d’un plan subséquent aligné sur le FTYIO de l’Agenda 2063. Le rapport de l’atelier est disponible.</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b/>
          <w:sz w:val="24"/>
          <w:szCs w:val="24"/>
          <w:lang w:val="fr-CI"/>
        </w:rPr>
      </w:pPr>
      <w:r w:rsidRPr="004366FD">
        <w:rPr>
          <w:rFonts w:ascii="Arial" w:hAnsi="Arial" w:cs="Arial"/>
          <w:b/>
          <w:sz w:val="24"/>
          <w:szCs w:val="24"/>
          <w:lang w:val="fr-CI"/>
        </w:rPr>
        <w:t>Afin de consolider les acquis réalisés et de maintenir l’élan en ce qui concerne l’internalisation de l’Agenda 2063 au niveau national, les organes de l’UA et les CER, les organes délibérants de l’UA sont invités à examiner, discuter et adopter les mesures suivantes :</w:t>
      </w:r>
    </w:p>
    <w:p w:rsidR="004254DD" w:rsidRPr="004366FD" w:rsidRDefault="004254DD" w:rsidP="00AE2F12">
      <w:pPr>
        <w:spacing w:after="0" w:line="240" w:lineRule="auto"/>
        <w:contextualSpacing/>
        <w:jc w:val="both"/>
        <w:rPr>
          <w:rFonts w:ascii="Arial" w:hAnsi="Arial" w:cs="Arial"/>
          <w:b/>
          <w:sz w:val="24"/>
          <w:szCs w:val="24"/>
          <w:lang w:val="fr-CI"/>
        </w:rPr>
      </w:pPr>
    </w:p>
    <w:p w:rsidR="007552BE" w:rsidRPr="004254DD" w:rsidRDefault="007552BE" w:rsidP="004254DD">
      <w:pPr>
        <w:pStyle w:val="ListParagraph"/>
        <w:numPr>
          <w:ilvl w:val="0"/>
          <w:numId w:val="12"/>
        </w:numPr>
        <w:spacing w:after="0" w:line="240" w:lineRule="auto"/>
        <w:ind w:left="1276" w:hanging="567"/>
        <w:jc w:val="both"/>
        <w:rPr>
          <w:rFonts w:ascii="Arial" w:hAnsi="Arial" w:cs="Arial"/>
          <w:i/>
          <w:sz w:val="24"/>
          <w:szCs w:val="24"/>
          <w:lang w:val="fr-CI"/>
        </w:rPr>
      </w:pPr>
      <w:r w:rsidRPr="004254DD">
        <w:rPr>
          <w:rFonts w:ascii="Arial" w:hAnsi="Arial" w:cs="Arial"/>
          <w:i/>
          <w:sz w:val="24"/>
          <w:szCs w:val="24"/>
          <w:lang w:val="fr-CI"/>
        </w:rPr>
        <w:t>Encourager les États membres, les organes de l’UA et les CER à continuer d’intégrer l’Agenda 2063 dans leurs plans et stratégies de développement respectifs.</w:t>
      </w:r>
    </w:p>
    <w:p w:rsidR="007552BE" w:rsidRPr="004366FD" w:rsidRDefault="007552BE" w:rsidP="004254DD">
      <w:pPr>
        <w:numPr>
          <w:ilvl w:val="0"/>
          <w:numId w:val="12"/>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La Commission doit mettre en place un dispositif d’appui technique et financier pour soutenir les efforts d’internalisation à tous les niveaux, y compris la sensibilisation et la vulgarisation.</w:t>
      </w:r>
    </w:p>
    <w:p w:rsidR="007552BE" w:rsidRPr="004366FD" w:rsidRDefault="007552BE" w:rsidP="004254DD">
      <w:pPr>
        <w:numPr>
          <w:ilvl w:val="0"/>
          <w:numId w:val="12"/>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La Commission doit concevoir des mécanismes de suivi pour faciliter l’internalisation à son niveau et identifier les changements structurels nécessaires pour intégrer l’Agenda 2063.</w:t>
      </w:r>
    </w:p>
    <w:p w:rsidR="007552BE" w:rsidRPr="004366FD" w:rsidRDefault="007552BE" w:rsidP="004254DD">
      <w:pPr>
        <w:numPr>
          <w:ilvl w:val="0"/>
          <w:numId w:val="12"/>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La Commission doit mettre en place un mécanisme d’examen par les pairs afin de faciliter le partage des meilleures pratiques entre les États membres.</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26525D" w:rsidRDefault="007552BE" w:rsidP="0026525D">
      <w:pPr>
        <w:pStyle w:val="ListParagraph"/>
        <w:numPr>
          <w:ilvl w:val="1"/>
          <w:numId w:val="26"/>
        </w:numPr>
        <w:spacing w:after="0" w:line="240" w:lineRule="auto"/>
        <w:ind w:left="1418" w:hanging="709"/>
        <w:jc w:val="both"/>
        <w:rPr>
          <w:rFonts w:ascii="Arial" w:eastAsia="Calibri" w:hAnsi="Arial" w:cs="Arial"/>
          <w:b/>
          <w:bCs/>
          <w:sz w:val="24"/>
          <w:szCs w:val="24"/>
          <w:lang w:val="fr-CI"/>
        </w:rPr>
      </w:pPr>
      <w:r w:rsidRPr="0026525D">
        <w:rPr>
          <w:rFonts w:ascii="Arial" w:eastAsia="Calibri" w:hAnsi="Arial" w:cs="Arial"/>
          <w:b/>
          <w:bCs/>
          <w:sz w:val="24"/>
          <w:szCs w:val="24"/>
          <w:lang w:val="fr-CI"/>
        </w:rPr>
        <w:t>Projets phares de l’Agenda 2063</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 xml:space="preserve">Les progrès réalisés dans la mise en œuvre des projets phares se situent à des niveaux différents selon la feuille de route établie pour chacun d’eux. Certains de ces </w:t>
      </w:r>
      <w:r w:rsidRPr="004366FD">
        <w:rPr>
          <w:rFonts w:ascii="Arial" w:hAnsi="Arial" w:cs="Arial"/>
          <w:sz w:val="24"/>
          <w:szCs w:val="24"/>
          <w:lang w:val="fr-CI"/>
        </w:rPr>
        <w:lastRenderedPageBreak/>
        <w:t>projets ont été examinés par leurs Comités techniques spécialisés respectifs, tandis que d’autres attendent d’être examinés par les experts. Les études de faisabilité ont été achevées pour la plupart des projets et les parties prenantes ont été sensibilisées au démarrage. Les progrès réalisés au niveau de la mise en œuvre, les difficultés rencontrées et la voie à suivre, sont présentés à l’Annexe 1 ci-dessous.</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26525D">
      <w:pPr>
        <w:pStyle w:val="ListParagraph"/>
        <w:numPr>
          <w:ilvl w:val="1"/>
          <w:numId w:val="26"/>
        </w:numPr>
        <w:spacing w:after="0" w:line="240" w:lineRule="auto"/>
        <w:ind w:left="1418" w:hanging="709"/>
        <w:jc w:val="both"/>
        <w:rPr>
          <w:rFonts w:ascii="Arial" w:eastAsia="Calibri" w:hAnsi="Arial" w:cs="Arial"/>
          <w:b/>
          <w:bCs/>
          <w:sz w:val="24"/>
          <w:szCs w:val="24"/>
          <w:lang w:val="fr-CI"/>
        </w:rPr>
      </w:pPr>
      <w:r w:rsidRPr="004366FD">
        <w:rPr>
          <w:rFonts w:ascii="Arial" w:eastAsia="Calibri" w:hAnsi="Arial" w:cs="Arial"/>
          <w:b/>
          <w:bCs/>
          <w:sz w:val="24"/>
          <w:szCs w:val="24"/>
          <w:lang w:val="fr-CI"/>
        </w:rPr>
        <w:t>Cadre de responsabilisation pour l’Agenda 2063 et l’alignement des systèmes de S</w:t>
      </w:r>
      <w:r w:rsidR="00331E1D">
        <w:rPr>
          <w:rFonts w:ascii="Arial" w:eastAsia="Calibri" w:hAnsi="Arial" w:cs="Arial"/>
          <w:b/>
          <w:bCs/>
          <w:sz w:val="24"/>
          <w:szCs w:val="24"/>
          <w:lang w:val="fr-CI"/>
        </w:rPr>
        <w:t xml:space="preserve"> </w:t>
      </w:r>
      <w:r w:rsidRPr="004366FD">
        <w:rPr>
          <w:rFonts w:ascii="Arial" w:eastAsia="Calibri" w:hAnsi="Arial" w:cs="Arial"/>
          <w:b/>
          <w:bCs/>
          <w:sz w:val="24"/>
          <w:szCs w:val="24"/>
          <w:lang w:val="fr-CI"/>
        </w:rPr>
        <w:t>&amp;</w:t>
      </w:r>
      <w:r w:rsidR="00331E1D">
        <w:rPr>
          <w:rFonts w:ascii="Arial" w:eastAsia="Calibri" w:hAnsi="Arial" w:cs="Arial"/>
          <w:b/>
          <w:bCs/>
          <w:sz w:val="24"/>
          <w:szCs w:val="24"/>
          <w:lang w:val="fr-CI"/>
        </w:rPr>
        <w:t xml:space="preserve"> </w:t>
      </w:r>
      <w:r w:rsidRPr="004366FD">
        <w:rPr>
          <w:rFonts w:ascii="Arial" w:eastAsia="Calibri" w:hAnsi="Arial" w:cs="Arial"/>
          <w:b/>
          <w:bCs/>
          <w:sz w:val="24"/>
          <w:szCs w:val="24"/>
          <w:lang w:val="fr-CI"/>
        </w:rPr>
        <w:t>E des CER</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4254DD">
      <w:pPr>
        <w:numPr>
          <w:ilvl w:val="0"/>
          <w:numId w:val="21"/>
        </w:numPr>
        <w:spacing w:after="0" w:line="240" w:lineRule="auto"/>
        <w:ind w:left="1985" w:hanging="567"/>
        <w:contextualSpacing/>
        <w:jc w:val="both"/>
        <w:rPr>
          <w:rFonts w:ascii="Arial" w:eastAsia="Calibri" w:hAnsi="Arial" w:cs="Arial"/>
          <w:b/>
          <w:sz w:val="24"/>
          <w:szCs w:val="24"/>
          <w:lang w:val="fr-CI"/>
        </w:rPr>
      </w:pPr>
      <w:r w:rsidRPr="004366FD">
        <w:rPr>
          <w:rFonts w:ascii="Arial" w:eastAsia="Calibri" w:hAnsi="Arial" w:cs="Arial"/>
          <w:b/>
          <w:sz w:val="24"/>
          <w:szCs w:val="24"/>
          <w:lang w:val="fr-CI"/>
        </w:rPr>
        <w:t>Cadre de responsabilisation/de mesure</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La mise en place d’un cadre de suivi et d’évaluation complet et robuste est l’une des conditions essentielles pour assurer la mise en œuvre réussie de l’Agenda 2063.</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Des progrès significatifs ont été réalisés dans l’élaboration d’un tel cadre de mesure et de responsabilisation. La Commission de l’UA a dirigé le processus d’élaboration du cadre de responsabilisation de l’Agenda 2063 en travaillant en étroite collaboration avec des partenaires clés tels que le Symposium africain sur le développement statistique (ASSD), la Commission économique des Nations Unies pour l’Afrique (CEA), la Banque africaine de développement (BAD), la Fondation pour le renforcement des capacités en Afrique (ACBF), l’Agence de planification et de coordination du NEPAD (NPCA). Ce travail vise également à faire progresser l’élaboration d’un cadre intégré pour la mise en œuvre de l’Agenda 2063 et des ODD.</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Un groupe de travail technique de 25 membres composé de statisticiens, de planificateurs et d’experts sectoriels a été mis en place pour fournir une expertise technique en termes de formulation, d’identification des sources de données, de clarté et de pertinence des indicateurs.</w:t>
      </w:r>
    </w:p>
    <w:p w:rsidR="007552BE" w:rsidRPr="00AE2F12" w:rsidRDefault="007552BE" w:rsidP="00AE2F12">
      <w:pPr>
        <w:spacing w:after="0" w:line="240" w:lineRule="auto"/>
        <w:contextualSpacing/>
        <w:jc w:val="both"/>
        <w:rPr>
          <w:rFonts w:ascii="Arial" w:hAnsi="Arial" w:cs="Arial"/>
          <w:b/>
          <w:bCs/>
          <w:sz w:val="24"/>
          <w:szCs w:val="24"/>
          <w:lang w:val="fr-CI"/>
        </w:rPr>
      </w:pPr>
    </w:p>
    <w:p w:rsidR="007552BE" w:rsidRPr="00AE2F12" w:rsidRDefault="007552BE" w:rsidP="00AE2F12">
      <w:pPr>
        <w:spacing w:after="0" w:line="240" w:lineRule="auto"/>
        <w:contextualSpacing/>
        <w:jc w:val="both"/>
        <w:rPr>
          <w:rFonts w:ascii="Arial" w:hAnsi="Arial" w:cs="Arial"/>
          <w:b/>
          <w:bCs/>
          <w:sz w:val="24"/>
          <w:szCs w:val="24"/>
          <w:lang w:val="fr-CI"/>
        </w:rPr>
      </w:pPr>
      <w:r w:rsidRPr="00AE2F12">
        <w:rPr>
          <w:rFonts w:ascii="Arial" w:hAnsi="Arial" w:cs="Arial"/>
          <w:b/>
          <w:bCs/>
          <w:sz w:val="24"/>
          <w:szCs w:val="24"/>
          <w:lang w:val="fr-CI"/>
        </w:rPr>
        <w:t>Les principales réalisations à ce jour sont les suivantes :</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4254DD">
      <w:pPr>
        <w:numPr>
          <w:ilvl w:val="0"/>
          <w:numId w:val="7"/>
        </w:numPr>
        <w:spacing w:after="0" w:line="240" w:lineRule="auto"/>
        <w:ind w:left="1276" w:hanging="567"/>
        <w:contextualSpacing/>
        <w:jc w:val="both"/>
        <w:rPr>
          <w:rFonts w:ascii="Arial" w:hAnsi="Arial" w:cs="Arial"/>
          <w:sz w:val="24"/>
          <w:szCs w:val="24"/>
          <w:lang w:val="fr-CI"/>
        </w:rPr>
      </w:pPr>
      <w:r w:rsidRPr="004366FD">
        <w:rPr>
          <w:rFonts w:ascii="Arial" w:hAnsi="Arial" w:cs="Arial"/>
          <w:sz w:val="24"/>
          <w:szCs w:val="24"/>
          <w:lang w:val="fr-CI"/>
        </w:rPr>
        <w:t xml:space="preserve">Un ensemble d’indicateurs du FTYIP et les sources de données a été convenu. Ceux-ci sont liés aux objectifs, aux domaines </w:t>
      </w:r>
      <w:r w:rsidRPr="004366FD">
        <w:rPr>
          <w:rFonts w:ascii="Arial" w:eastAsia="Calibri" w:hAnsi="Arial" w:cs="Arial"/>
          <w:sz w:val="24"/>
          <w:szCs w:val="24"/>
          <w:lang w:val="fr-CI"/>
        </w:rPr>
        <w:t>prioritaires</w:t>
      </w:r>
      <w:r w:rsidRPr="004366FD">
        <w:rPr>
          <w:rFonts w:ascii="Arial" w:hAnsi="Arial" w:cs="Arial"/>
          <w:sz w:val="24"/>
          <w:szCs w:val="24"/>
          <w:lang w:val="fr-CI"/>
        </w:rPr>
        <w:t xml:space="preserve"> et aux aspirations du cadre de résultats du FTYIP de l’Agenda 2063 ;</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7552BE" w:rsidP="004254DD">
      <w:pPr>
        <w:numPr>
          <w:ilvl w:val="0"/>
          <w:numId w:val="7"/>
        </w:numPr>
        <w:spacing w:after="0" w:line="240" w:lineRule="auto"/>
        <w:ind w:left="1276" w:hanging="567"/>
        <w:contextualSpacing/>
        <w:jc w:val="both"/>
        <w:rPr>
          <w:rFonts w:ascii="Arial" w:hAnsi="Arial" w:cs="Arial"/>
          <w:sz w:val="24"/>
          <w:szCs w:val="24"/>
          <w:lang w:val="fr-CI"/>
        </w:rPr>
      </w:pPr>
      <w:r w:rsidRPr="004366FD">
        <w:rPr>
          <w:rFonts w:ascii="Arial" w:hAnsi="Arial" w:cs="Arial"/>
          <w:sz w:val="24"/>
          <w:szCs w:val="24"/>
          <w:lang w:val="fr-CI"/>
        </w:rPr>
        <w:t>Une série de 78 «</w:t>
      </w:r>
      <w:r w:rsidR="00331E1D">
        <w:rPr>
          <w:rFonts w:ascii="Arial" w:hAnsi="Arial" w:cs="Arial"/>
          <w:sz w:val="24"/>
          <w:szCs w:val="24"/>
          <w:lang w:val="fr-CI"/>
        </w:rPr>
        <w:t> </w:t>
      </w:r>
      <w:r w:rsidRPr="004366FD">
        <w:rPr>
          <w:rFonts w:ascii="Arial" w:hAnsi="Arial" w:cs="Arial"/>
          <w:sz w:val="24"/>
          <w:szCs w:val="24"/>
          <w:lang w:val="fr-CI"/>
        </w:rPr>
        <w:t>indicateurs de base</w:t>
      </w:r>
      <w:r w:rsidR="00331E1D">
        <w:rPr>
          <w:rFonts w:ascii="Arial" w:hAnsi="Arial" w:cs="Arial"/>
          <w:sz w:val="24"/>
          <w:szCs w:val="24"/>
          <w:lang w:val="fr-CI"/>
        </w:rPr>
        <w:t> </w:t>
      </w:r>
      <w:r w:rsidRPr="004366FD">
        <w:rPr>
          <w:rFonts w:ascii="Arial" w:hAnsi="Arial" w:cs="Arial"/>
          <w:sz w:val="24"/>
          <w:szCs w:val="24"/>
          <w:lang w:val="fr-CI"/>
        </w:rPr>
        <w:t>» ont été identifiés à partir des indicateurs fournis par les CER et validés par les Directeurs généraux des Bureaux nationaux de statistique lors de la 12</w:t>
      </w:r>
      <w:r w:rsidRPr="004366FD">
        <w:rPr>
          <w:rFonts w:ascii="Arial" w:hAnsi="Arial" w:cs="Arial"/>
          <w:sz w:val="24"/>
          <w:szCs w:val="24"/>
          <w:vertAlign w:val="superscript"/>
          <w:lang w:val="fr-CI"/>
        </w:rPr>
        <w:t>e</w:t>
      </w:r>
      <w:r w:rsidRPr="004366FD">
        <w:rPr>
          <w:rFonts w:ascii="Arial" w:hAnsi="Arial" w:cs="Arial"/>
          <w:sz w:val="24"/>
          <w:szCs w:val="24"/>
          <w:lang w:val="fr-CI"/>
        </w:rPr>
        <w:t xml:space="preserve"> réunion de l’ASSD tenu à Tunis en novembre 2016. L’Agence du NEPAD et </w:t>
      </w:r>
      <w:proofErr w:type="spellStart"/>
      <w:r w:rsidRPr="004366FD">
        <w:rPr>
          <w:rFonts w:ascii="Arial" w:hAnsi="Arial" w:cs="Arial"/>
          <w:sz w:val="24"/>
          <w:szCs w:val="24"/>
          <w:lang w:val="fr-CI"/>
        </w:rPr>
        <w:t>Stats</w:t>
      </w:r>
      <w:proofErr w:type="spellEnd"/>
      <w:r w:rsidRPr="004366FD">
        <w:rPr>
          <w:rFonts w:ascii="Arial" w:hAnsi="Arial" w:cs="Arial"/>
          <w:sz w:val="24"/>
          <w:szCs w:val="24"/>
          <w:lang w:val="fr-CI"/>
        </w:rPr>
        <w:t xml:space="preserve"> SA ont été chargés de dresser le profil des indicateurs et d’élaborer les métadonnées.</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7552BE" w:rsidP="004254DD">
      <w:pPr>
        <w:numPr>
          <w:ilvl w:val="0"/>
          <w:numId w:val="7"/>
        </w:numPr>
        <w:spacing w:after="0" w:line="240" w:lineRule="auto"/>
        <w:ind w:left="1276" w:hanging="567"/>
        <w:contextualSpacing/>
        <w:jc w:val="both"/>
        <w:rPr>
          <w:rFonts w:ascii="Arial" w:hAnsi="Arial" w:cs="Arial"/>
          <w:sz w:val="24"/>
          <w:szCs w:val="24"/>
          <w:lang w:val="fr-CI"/>
        </w:rPr>
      </w:pPr>
      <w:r w:rsidRPr="004366FD">
        <w:rPr>
          <w:rFonts w:ascii="Arial" w:hAnsi="Arial" w:cs="Arial"/>
          <w:sz w:val="24"/>
          <w:szCs w:val="24"/>
          <w:lang w:val="fr-CI"/>
        </w:rPr>
        <w:t xml:space="preserve">Un atelier sur les coûts de la mise en œuvre du cadre de mesure au niveau national et le développement des stratégies de mobilisation des ressources et des technologies s’est tenu à Pretoria (Afrique du Sud) du 3 au 7 mai 2016. Il visait à aider l’Afrique à gérer les fonds acquis auprès des bailleurs de fonds pour la production de données qui informent la politique. En ce qui concerne la stratégie technologique, le problème réside dans le fait pour le continent de nouer les bons partenariats mondiaux au moment où nous nous enregistrons une plus grande </w:t>
      </w:r>
      <w:r w:rsidRPr="004366FD">
        <w:rPr>
          <w:rFonts w:ascii="Arial" w:hAnsi="Arial" w:cs="Arial"/>
          <w:sz w:val="24"/>
          <w:szCs w:val="24"/>
          <w:lang w:val="fr-CI"/>
        </w:rPr>
        <w:lastRenderedPageBreak/>
        <w:t>utilisation de la technologie. Les données et la technologie étant insociables, les statistiques ne peuvent donc pas être séparées de la technologie.</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7552BE" w:rsidP="004254DD">
      <w:pPr>
        <w:numPr>
          <w:ilvl w:val="0"/>
          <w:numId w:val="7"/>
        </w:numPr>
        <w:spacing w:after="0" w:line="240" w:lineRule="auto"/>
        <w:ind w:left="1276" w:hanging="567"/>
        <w:contextualSpacing/>
        <w:jc w:val="both"/>
        <w:rPr>
          <w:rFonts w:ascii="Arial" w:hAnsi="Arial" w:cs="Arial"/>
          <w:sz w:val="24"/>
          <w:szCs w:val="24"/>
          <w:lang w:val="fr-CI"/>
        </w:rPr>
      </w:pPr>
      <w:r w:rsidRPr="004366FD">
        <w:rPr>
          <w:rFonts w:ascii="Arial" w:hAnsi="Arial" w:cs="Arial"/>
          <w:sz w:val="24"/>
          <w:szCs w:val="24"/>
          <w:lang w:val="fr-CI"/>
        </w:rPr>
        <w:t>Élaboration des cartes à point de l’Agenda 2063 dans les zones ciblées dans le cadre de la validation des indicateurs :</w:t>
      </w:r>
    </w:p>
    <w:p w:rsidR="004254DD" w:rsidRDefault="004254DD" w:rsidP="004254DD">
      <w:pPr>
        <w:spacing w:after="0" w:line="240" w:lineRule="auto"/>
        <w:ind w:left="1080"/>
        <w:contextualSpacing/>
        <w:jc w:val="both"/>
        <w:rPr>
          <w:rFonts w:ascii="Arial" w:hAnsi="Arial" w:cs="Arial"/>
          <w:sz w:val="24"/>
          <w:szCs w:val="24"/>
          <w:lang w:val="fr-CI"/>
        </w:rPr>
      </w:pPr>
    </w:p>
    <w:p w:rsidR="007552BE" w:rsidRPr="004366FD" w:rsidRDefault="007552BE" w:rsidP="004254DD">
      <w:pPr>
        <w:numPr>
          <w:ilvl w:val="0"/>
          <w:numId w:val="8"/>
        </w:numPr>
        <w:spacing w:after="0" w:line="240" w:lineRule="auto"/>
        <w:ind w:left="1843" w:hanging="567"/>
        <w:contextualSpacing/>
        <w:jc w:val="both"/>
        <w:rPr>
          <w:rFonts w:ascii="Arial" w:hAnsi="Arial" w:cs="Arial"/>
          <w:sz w:val="24"/>
          <w:szCs w:val="24"/>
          <w:lang w:val="fr-CI"/>
        </w:rPr>
      </w:pPr>
      <w:r w:rsidRPr="004366FD">
        <w:rPr>
          <w:rFonts w:ascii="Arial" w:hAnsi="Arial" w:cs="Arial"/>
          <w:sz w:val="24"/>
          <w:szCs w:val="24"/>
          <w:lang w:val="fr-CI"/>
        </w:rPr>
        <w:t xml:space="preserve">La carte à point sur le genre a été évaluée et les indicateurs réaménagés de manière identique à ceux qui assurent le suivi de l’impact sur les aspects sociaux, </w:t>
      </w:r>
      <w:r w:rsidRPr="004366FD">
        <w:rPr>
          <w:rFonts w:ascii="Arial" w:eastAsia="Calibri" w:hAnsi="Arial" w:cs="Arial"/>
          <w:sz w:val="24"/>
          <w:szCs w:val="24"/>
          <w:lang w:val="fr-CI"/>
        </w:rPr>
        <w:t>économiques</w:t>
      </w:r>
      <w:r w:rsidRPr="004366FD">
        <w:rPr>
          <w:rFonts w:ascii="Arial" w:hAnsi="Arial" w:cs="Arial"/>
          <w:sz w:val="24"/>
          <w:szCs w:val="24"/>
          <w:lang w:val="fr-CI"/>
        </w:rPr>
        <w:t xml:space="preserve"> et de gouvernance. Ce document a été publié au cours du Sommet de juillet 2016.</w:t>
      </w:r>
    </w:p>
    <w:p w:rsidR="004254DD" w:rsidRDefault="004254DD" w:rsidP="004254DD">
      <w:pPr>
        <w:spacing w:after="0" w:line="240" w:lineRule="auto"/>
        <w:ind w:left="1843"/>
        <w:contextualSpacing/>
        <w:jc w:val="both"/>
        <w:rPr>
          <w:rFonts w:ascii="Arial" w:hAnsi="Arial" w:cs="Arial"/>
          <w:sz w:val="24"/>
          <w:szCs w:val="24"/>
          <w:lang w:val="fr-CI"/>
        </w:rPr>
      </w:pPr>
    </w:p>
    <w:p w:rsidR="007552BE" w:rsidRPr="004366FD" w:rsidRDefault="007552BE" w:rsidP="004254DD">
      <w:pPr>
        <w:numPr>
          <w:ilvl w:val="0"/>
          <w:numId w:val="8"/>
        </w:numPr>
        <w:spacing w:after="0" w:line="240" w:lineRule="auto"/>
        <w:ind w:left="1843" w:hanging="567"/>
        <w:contextualSpacing/>
        <w:jc w:val="both"/>
        <w:rPr>
          <w:rFonts w:ascii="Arial" w:hAnsi="Arial" w:cs="Arial"/>
          <w:sz w:val="24"/>
          <w:szCs w:val="24"/>
          <w:lang w:val="fr-CI"/>
        </w:rPr>
      </w:pPr>
      <w:r w:rsidRPr="004366FD">
        <w:rPr>
          <w:rFonts w:ascii="Arial" w:hAnsi="Arial" w:cs="Arial"/>
          <w:sz w:val="24"/>
          <w:szCs w:val="24"/>
          <w:lang w:val="fr-CI"/>
        </w:rPr>
        <w:t>Le Département de Paix et de Sécurité développe également une carte à points pour l’APSA, lequel fera le suivi de la mise en œuvre de l’un des projets phares, celui de «</w:t>
      </w:r>
      <w:r w:rsidR="00331E1D">
        <w:rPr>
          <w:rFonts w:ascii="Arial" w:hAnsi="Arial" w:cs="Arial"/>
          <w:sz w:val="24"/>
          <w:szCs w:val="24"/>
          <w:lang w:val="fr-CI"/>
        </w:rPr>
        <w:t> </w:t>
      </w:r>
      <w:r w:rsidRPr="004366FD">
        <w:rPr>
          <w:rFonts w:ascii="Arial" w:hAnsi="Arial" w:cs="Arial"/>
          <w:sz w:val="24"/>
          <w:szCs w:val="24"/>
          <w:lang w:val="fr-CI"/>
        </w:rPr>
        <w:t>Faire taire les armes d’ici 2020</w:t>
      </w:r>
      <w:r w:rsidR="00331E1D">
        <w:rPr>
          <w:rFonts w:ascii="Arial" w:hAnsi="Arial" w:cs="Arial"/>
          <w:sz w:val="24"/>
          <w:szCs w:val="24"/>
          <w:lang w:val="fr-CI"/>
        </w:rPr>
        <w:t> </w:t>
      </w:r>
      <w:r w:rsidRPr="004366FD">
        <w:rPr>
          <w:rFonts w:ascii="Arial" w:hAnsi="Arial" w:cs="Arial"/>
          <w:sz w:val="24"/>
          <w:szCs w:val="24"/>
          <w:lang w:val="fr-CI"/>
        </w:rPr>
        <w:t>».</w:t>
      </w:r>
    </w:p>
    <w:p w:rsidR="004254DD" w:rsidRDefault="004254DD" w:rsidP="004254DD">
      <w:pPr>
        <w:spacing w:after="0" w:line="240" w:lineRule="auto"/>
        <w:ind w:left="1843"/>
        <w:contextualSpacing/>
        <w:jc w:val="both"/>
        <w:rPr>
          <w:rFonts w:ascii="Arial" w:hAnsi="Arial" w:cs="Arial"/>
          <w:sz w:val="24"/>
          <w:szCs w:val="24"/>
          <w:lang w:val="fr-CI"/>
        </w:rPr>
      </w:pPr>
    </w:p>
    <w:p w:rsidR="007552BE" w:rsidRPr="004366FD" w:rsidRDefault="007552BE" w:rsidP="004254DD">
      <w:pPr>
        <w:numPr>
          <w:ilvl w:val="0"/>
          <w:numId w:val="8"/>
        </w:numPr>
        <w:spacing w:after="0" w:line="240" w:lineRule="auto"/>
        <w:ind w:left="1843" w:hanging="567"/>
        <w:contextualSpacing/>
        <w:jc w:val="both"/>
        <w:rPr>
          <w:rFonts w:ascii="Arial" w:hAnsi="Arial" w:cs="Arial"/>
          <w:sz w:val="24"/>
          <w:szCs w:val="24"/>
          <w:lang w:val="fr-CI"/>
        </w:rPr>
      </w:pPr>
      <w:r w:rsidRPr="004366FD">
        <w:rPr>
          <w:rFonts w:ascii="Arial" w:hAnsi="Arial" w:cs="Arial"/>
          <w:sz w:val="24"/>
          <w:szCs w:val="24"/>
          <w:lang w:val="fr-CI"/>
        </w:rPr>
        <w:t>Des négociations préliminaires ont été menées avec le Département des affaires politiques afin d’élaborer une carte à points sur la gouvernance, en s’appuyant sur l’expérience acquise avec la carte à points sur le genre, ce avec l’aide du Cap-Vert.</w:t>
      </w:r>
    </w:p>
    <w:p w:rsidR="004254DD" w:rsidRDefault="004254DD" w:rsidP="004254DD">
      <w:pPr>
        <w:spacing w:after="0" w:line="240" w:lineRule="auto"/>
        <w:ind w:left="1843"/>
        <w:contextualSpacing/>
        <w:jc w:val="both"/>
        <w:rPr>
          <w:rFonts w:ascii="Arial" w:hAnsi="Arial" w:cs="Arial"/>
          <w:sz w:val="24"/>
          <w:szCs w:val="24"/>
          <w:lang w:val="fr-CI"/>
        </w:rPr>
      </w:pPr>
    </w:p>
    <w:p w:rsidR="007552BE" w:rsidRPr="004366FD" w:rsidRDefault="007552BE" w:rsidP="004254DD">
      <w:pPr>
        <w:numPr>
          <w:ilvl w:val="0"/>
          <w:numId w:val="8"/>
        </w:numPr>
        <w:spacing w:after="0" w:line="240" w:lineRule="auto"/>
        <w:ind w:left="1843" w:hanging="567"/>
        <w:contextualSpacing/>
        <w:jc w:val="both"/>
        <w:rPr>
          <w:rFonts w:ascii="Arial" w:hAnsi="Arial" w:cs="Arial"/>
          <w:sz w:val="24"/>
          <w:szCs w:val="24"/>
          <w:lang w:val="fr-CI"/>
        </w:rPr>
      </w:pPr>
      <w:r w:rsidRPr="004366FD">
        <w:rPr>
          <w:rFonts w:ascii="Arial" w:hAnsi="Arial" w:cs="Arial"/>
          <w:sz w:val="24"/>
          <w:szCs w:val="24"/>
          <w:lang w:val="fr-CI"/>
        </w:rPr>
        <w:t>Le Département des affaires sociales négocie également avec l’Institut de statistique de l’UNESCO pour élaborer une carte à points sur la culture.</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4254DD">
      <w:pPr>
        <w:numPr>
          <w:ilvl w:val="0"/>
          <w:numId w:val="21"/>
        </w:numPr>
        <w:spacing w:after="0" w:line="240" w:lineRule="auto"/>
        <w:ind w:left="1985" w:hanging="567"/>
        <w:contextualSpacing/>
        <w:jc w:val="both"/>
        <w:rPr>
          <w:rFonts w:ascii="Arial" w:eastAsia="Calibri" w:hAnsi="Arial" w:cs="Arial"/>
          <w:b/>
          <w:sz w:val="24"/>
          <w:szCs w:val="24"/>
          <w:lang w:val="fr-CI"/>
        </w:rPr>
      </w:pPr>
      <w:r w:rsidRPr="004366FD">
        <w:rPr>
          <w:rFonts w:ascii="Arial" w:eastAsia="Calibri" w:hAnsi="Arial" w:cs="Arial"/>
          <w:b/>
          <w:sz w:val="24"/>
          <w:szCs w:val="24"/>
          <w:lang w:val="fr-CI"/>
        </w:rPr>
        <w:t>Convergence</w:t>
      </w:r>
      <w:r w:rsidR="00331E1D">
        <w:rPr>
          <w:rFonts w:ascii="Arial" w:eastAsia="Calibri" w:hAnsi="Arial" w:cs="Arial"/>
          <w:b/>
          <w:sz w:val="24"/>
          <w:szCs w:val="24"/>
          <w:lang w:val="fr-CI"/>
        </w:rPr>
        <w:t>/</w:t>
      </w:r>
      <w:r w:rsidRPr="004366FD">
        <w:rPr>
          <w:rFonts w:ascii="Arial" w:eastAsia="Calibri" w:hAnsi="Arial" w:cs="Arial"/>
          <w:b/>
          <w:sz w:val="24"/>
          <w:szCs w:val="24"/>
          <w:lang w:val="fr-CI"/>
        </w:rPr>
        <w:t>alignement des cadres de S</w:t>
      </w:r>
      <w:r w:rsidR="00331E1D">
        <w:rPr>
          <w:rFonts w:ascii="Arial" w:eastAsia="Calibri" w:hAnsi="Arial" w:cs="Arial"/>
          <w:b/>
          <w:sz w:val="24"/>
          <w:szCs w:val="24"/>
          <w:lang w:val="fr-CI"/>
        </w:rPr>
        <w:t xml:space="preserve"> </w:t>
      </w:r>
      <w:r w:rsidRPr="004366FD">
        <w:rPr>
          <w:rFonts w:ascii="Arial" w:eastAsia="Calibri" w:hAnsi="Arial" w:cs="Arial"/>
          <w:b/>
          <w:sz w:val="24"/>
          <w:szCs w:val="24"/>
          <w:lang w:val="fr-CI"/>
        </w:rPr>
        <w:t>&amp;</w:t>
      </w:r>
      <w:r w:rsidR="00331E1D">
        <w:rPr>
          <w:rFonts w:ascii="Arial" w:eastAsia="Calibri" w:hAnsi="Arial" w:cs="Arial"/>
          <w:b/>
          <w:sz w:val="24"/>
          <w:szCs w:val="24"/>
          <w:lang w:val="fr-CI"/>
        </w:rPr>
        <w:t xml:space="preserve"> </w:t>
      </w:r>
      <w:r w:rsidRPr="004366FD">
        <w:rPr>
          <w:rFonts w:ascii="Arial" w:eastAsia="Calibri" w:hAnsi="Arial" w:cs="Arial"/>
          <w:b/>
          <w:sz w:val="24"/>
          <w:szCs w:val="24"/>
          <w:lang w:val="fr-CI"/>
        </w:rPr>
        <w:t>E des RECS en vue de l’Agenda 2063</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Les CER sont invitées à jouer un rôle essentiel dans la mise en œuvre du FTYIP de l’Agenda 2063 en ce qui concerne la réalisation des objectifs au niveau régional, mais également en raison du rôle d’interface qu’elles sont censées jouer au niveau national et continental, notamment en ce qui concerne le suivi et l’évaluation.</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La Commission continue donc de travailler en étroite collaboration avec les CER dans le cadre d’un effort de collaboration pour assurer l’alignement de leurs cadres de suivi et d’évaluation sur l’Agenda 2063. Des progrès importants ont été accomplis, tel qu’indiqué comme suit :</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Processus</w:t>
      </w:r>
      <w:r w:rsidR="004254DD">
        <w:rPr>
          <w:rFonts w:ascii="Arial" w:hAnsi="Arial" w:cs="Arial"/>
          <w:sz w:val="24"/>
          <w:szCs w:val="24"/>
          <w:lang w:val="fr-CI"/>
        </w:rPr>
        <w:t> :</w:t>
      </w:r>
    </w:p>
    <w:p w:rsidR="004254DD" w:rsidRPr="004366FD" w:rsidRDefault="004254DD" w:rsidP="00AE2F12">
      <w:pPr>
        <w:spacing w:after="0" w:line="240" w:lineRule="auto"/>
        <w:contextualSpacing/>
        <w:jc w:val="both"/>
        <w:rPr>
          <w:rFonts w:ascii="Arial" w:hAnsi="Arial" w:cs="Arial"/>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sz w:val="24"/>
          <w:szCs w:val="24"/>
          <w:lang w:val="fr-CI"/>
        </w:rPr>
      </w:pPr>
      <w:r>
        <w:rPr>
          <w:rFonts w:ascii="Arial" w:hAnsi="Arial" w:cs="Arial"/>
          <w:sz w:val="24"/>
          <w:szCs w:val="24"/>
          <w:lang w:val="fr-CI"/>
        </w:rPr>
        <w:t>u</w:t>
      </w:r>
      <w:r w:rsidR="007552BE" w:rsidRPr="004366FD">
        <w:rPr>
          <w:rFonts w:ascii="Arial" w:hAnsi="Arial" w:cs="Arial"/>
          <w:sz w:val="24"/>
          <w:szCs w:val="24"/>
          <w:lang w:val="fr-CI"/>
        </w:rPr>
        <w:t xml:space="preserve">n </w:t>
      </w:r>
      <w:r w:rsidR="007552BE" w:rsidRPr="00750DF1">
        <w:rPr>
          <w:rFonts w:ascii="Arial" w:hAnsi="Arial" w:cs="Arial"/>
          <w:sz w:val="24"/>
          <w:szCs w:val="24"/>
          <w:lang w:val="fr-CI"/>
        </w:rPr>
        <w:t xml:space="preserve">partenariat </w:t>
      </w:r>
      <w:r w:rsidR="007552BE" w:rsidRPr="00750DF1">
        <w:rPr>
          <w:rFonts w:ascii="Arial" w:eastAsia="Calibri" w:hAnsi="Arial" w:cs="Arial"/>
          <w:sz w:val="24"/>
          <w:szCs w:val="24"/>
          <w:lang w:val="fr-CI"/>
        </w:rPr>
        <w:t>multi-partie</w:t>
      </w:r>
      <w:r w:rsidR="00190EDB" w:rsidRPr="00AE2F12">
        <w:rPr>
          <w:rFonts w:ascii="Arial" w:eastAsia="Calibri" w:hAnsi="Arial" w:cs="Arial"/>
          <w:sz w:val="24"/>
          <w:szCs w:val="24"/>
          <w:lang w:val="fr-CI"/>
        </w:rPr>
        <w:t>s</w:t>
      </w:r>
      <w:r w:rsidR="007552BE" w:rsidRPr="00750DF1">
        <w:rPr>
          <w:rFonts w:ascii="Arial" w:eastAsia="Calibri" w:hAnsi="Arial" w:cs="Arial"/>
          <w:sz w:val="24"/>
          <w:szCs w:val="24"/>
          <w:lang w:val="fr-CI"/>
        </w:rPr>
        <w:t xml:space="preserve"> prenantes</w:t>
      </w:r>
      <w:r w:rsidR="007552BE" w:rsidRPr="00750DF1">
        <w:rPr>
          <w:rFonts w:ascii="Arial" w:hAnsi="Arial" w:cs="Arial"/>
          <w:sz w:val="24"/>
          <w:szCs w:val="24"/>
          <w:lang w:val="fr-CI"/>
        </w:rPr>
        <w:t xml:space="preserve"> impliquant</w:t>
      </w:r>
      <w:r w:rsidR="007552BE" w:rsidRPr="004366FD">
        <w:rPr>
          <w:rFonts w:ascii="Arial" w:hAnsi="Arial" w:cs="Arial"/>
          <w:sz w:val="24"/>
          <w:szCs w:val="24"/>
          <w:lang w:val="fr-CI"/>
        </w:rPr>
        <w:t xml:space="preserve"> les huit CER et les principales institutions de collaboration (CUA, ASSD, CEA, BAD, ACBF, etc.) a été mis en place ;</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sz w:val="24"/>
          <w:szCs w:val="24"/>
          <w:lang w:val="fr-CI"/>
        </w:rPr>
      </w:pPr>
      <w:r>
        <w:rPr>
          <w:rFonts w:ascii="Arial" w:hAnsi="Arial" w:cs="Arial"/>
          <w:sz w:val="24"/>
          <w:szCs w:val="24"/>
          <w:lang w:val="fr-CI"/>
        </w:rPr>
        <w:t>u</w:t>
      </w:r>
      <w:r w:rsidR="007552BE" w:rsidRPr="004366FD">
        <w:rPr>
          <w:rFonts w:ascii="Arial" w:hAnsi="Arial" w:cs="Arial"/>
          <w:sz w:val="24"/>
          <w:szCs w:val="24"/>
          <w:lang w:val="fr-CI"/>
        </w:rPr>
        <w:t>ne série de réunions techniques sont régulièrement organisées afin de dégager un con</w:t>
      </w:r>
      <w:r>
        <w:rPr>
          <w:rFonts w:ascii="Arial" w:hAnsi="Arial" w:cs="Arial"/>
          <w:sz w:val="24"/>
          <w:szCs w:val="24"/>
          <w:lang w:val="fr-CI"/>
        </w:rPr>
        <w:t>sensus sur les travaux en cours ;</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sz w:val="24"/>
          <w:szCs w:val="24"/>
          <w:lang w:val="fr-CI"/>
        </w:rPr>
      </w:pPr>
      <w:r>
        <w:rPr>
          <w:rFonts w:ascii="Arial" w:hAnsi="Arial" w:cs="Arial"/>
          <w:sz w:val="24"/>
          <w:szCs w:val="24"/>
          <w:lang w:val="fr-CI"/>
        </w:rPr>
        <w:t>u</w:t>
      </w:r>
      <w:r w:rsidR="007552BE" w:rsidRPr="004366FD">
        <w:rPr>
          <w:rFonts w:ascii="Arial" w:hAnsi="Arial" w:cs="Arial"/>
          <w:sz w:val="24"/>
          <w:szCs w:val="24"/>
          <w:lang w:val="fr-CI"/>
        </w:rPr>
        <w:t>ne feuille de route a été convenue avec toutes les parties prenantes, notamment avec les huit CER, en vue de finaliser le cadre de S</w:t>
      </w:r>
      <w:r w:rsidR="00331E1D">
        <w:rPr>
          <w:rFonts w:ascii="Arial" w:hAnsi="Arial" w:cs="Arial"/>
          <w:sz w:val="24"/>
          <w:szCs w:val="24"/>
          <w:lang w:val="fr-CI"/>
        </w:rPr>
        <w:t xml:space="preserve"> </w:t>
      </w:r>
      <w:r w:rsidR="007552BE" w:rsidRPr="004366FD">
        <w:rPr>
          <w:rFonts w:ascii="Arial" w:hAnsi="Arial" w:cs="Arial"/>
          <w:sz w:val="24"/>
          <w:szCs w:val="24"/>
          <w:lang w:val="fr-CI"/>
        </w:rPr>
        <w:t>&amp;</w:t>
      </w:r>
      <w:r w:rsidR="00331E1D">
        <w:rPr>
          <w:rFonts w:ascii="Arial" w:hAnsi="Arial" w:cs="Arial"/>
          <w:sz w:val="24"/>
          <w:szCs w:val="24"/>
          <w:lang w:val="fr-CI"/>
        </w:rPr>
        <w:t xml:space="preserve"> </w:t>
      </w:r>
      <w:r w:rsidR="007552BE" w:rsidRPr="004366FD">
        <w:rPr>
          <w:rFonts w:ascii="Arial" w:hAnsi="Arial" w:cs="Arial"/>
          <w:sz w:val="24"/>
          <w:szCs w:val="24"/>
          <w:lang w:val="fr-CI"/>
        </w:rPr>
        <w:t>E.</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Résultats</w:t>
      </w:r>
      <w:r w:rsidR="004254DD">
        <w:rPr>
          <w:rFonts w:ascii="Arial" w:hAnsi="Arial" w:cs="Arial"/>
          <w:sz w:val="24"/>
          <w:szCs w:val="24"/>
          <w:lang w:val="fr-CI"/>
        </w:rPr>
        <w:t> :</w:t>
      </w:r>
    </w:p>
    <w:p w:rsidR="004254DD" w:rsidRPr="004366FD" w:rsidRDefault="004254DD" w:rsidP="00AE2F12">
      <w:pPr>
        <w:spacing w:after="0" w:line="240" w:lineRule="auto"/>
        <w:contextualSpacing/>
        <w:jc w:val="both"/>
        <w:rPr>
          <w:rFonts w:ascii="Arial" w:hAnsi="Arial" w:cs="Arial"/>
          <w:sz w:val="24"/>
          <w:szCs w:val="24"/>
          <w:lang w:val="fr-CI"/>
        </w:rPr>
      </w:pPr>
    </w:p>
    <w:p w:rsidR="007552BE" w:rsidRPr="004366FD" w:rsidRDefault="007552BE" w:rsidP="004254DD">
      <w:pPr>
        <w:numPr>
          <w:ilvl w:val="0"/>
          <w:numId w:val="8"/>
        </w:numPr>
        <w:spacing w:after="0" w:line="240" w:lineRule="auto"/>
        <w:ind w:left="1276" w:hanging="556"/>
        <w:contextualSpacing/>
        <w:jc w:val="both"/>
        <w:rPr>
          <w:rFonts w:ascii="Arial" w:hAnsi="Arial" w:cs="Arial"/>
          <w:sz w:val="24"/>
          <w:szCs w:val="24"/>
          <w:lang w:val="fr-CI"/>
        </w:rPr>
      </w:pPr>
      <w:r w:rsidRPr="004366FD">
        <w:rPr>
          <w:rFonts w:ascii="Arial" w:hAnsi="Arial" w:cs="Arial"/>
          <w:sz w:val="24"/>
          <w:szCs w:val="24"/>
          <w:lang w:val="fr-CI"/>
        </w:rPr>
        <w:t>Le cycle de suivi, notamment la fréquence et la durée d’obtention des données/informations de suivi auprès des États membres, ainsi que la fréquence et le calendrier de production des rapports de suivi ont été convenus.</w:t>
      </w:r>
    </w:p>
    <w:p w:rsidR="004254DD" w:rsidRDefault="004254DD" w:rsidP="004254DD">
      <w:pPr>
        <w:spacing w:after="0" w:line="240" w:lineRule="auto"/>
        <w:ind w:left="2160"/>
        <w:contextualSpacing/>
        <w:jc w:val="both"/>
        <w:rPr>
          <w:rFonts w:ascii="Arial" w:hAnsi="Arial" w:cs="Arial"/>
          <w:sz w:val="24"/>
          <w:szCs w:val="24"/>
          <w:lang w:val="fr-CI"/>
        </w:rPr>
      </w:pPr>
    </w:p>
    <w:p w:rsidR="007552BE" w:rsidRPr="004366FD" w:rsidRDefault="007552BE" w:rsidP="004254DD">
      <w:pPr>
        <w:numPr>
          <w:ilvl w:val="1"/>
          <w:numId w:val="8"/>
        </w:numPr>
        <w:spacing w:after="0" w:line="240" w:lineRule="auto"/>
        <w:ind w:left="1843" w:hanging="567"/>
        <w:contextualSpacing/>
        <w:jc w:val="both"/>
        <w:rPr>
          <w:rFonts w:ascii="Arial" w:hAnsi="Arial" w:cs="Arial"/>
          <w:sz w:val="24"/>
          <w:szCs w:val="24"/>
          <w:lang w:val="fr-CI"/>
        </w:rPr>
      </w:pPr>
      <w:r w:rsidRPr="004366FD">
        <w:rPr>
          <w:rFonts w:ascii="Arial" w:hAnsi="Arial" w:cs="Arial"/>
          <w:sz w:val="24"/>
          <w:szCs w:val="24"/>
          <w:lang w:val="fr-CI"/>
        </w:rPr>
        <w:t>Cycle annuel d’établissement des rapports pour les États membres ;</w:t>
      </w:r>
    </w:p>
    <w:p w:rsidR="007552BE" w:rsidRPr="004366FD" w:rsidRDefault="007552BE" w:rsidP="004254DD">
      <w:pPr>
        <w:numPr>
          <w:ilvl w:val="1"/>
          <w:numId w:val="8"/>
        </w:numPr>
        <w:spacing w:after="0" w:line="240" w:lineRule="auto"/>
        <w:ind w:left="1843" w:hanging="567"/>
        <w:contextualSpacing/>
        <w:jc w:val="both"/>
        <w:rPr>
          <w:rFonts w:ascii="Arial" w:hAnsi="Arial" w:cs="Arial"/>
          <w:sz w:val="24"/>
          <w:szCs w:val="24"/>
          <w:lang w:val="fr-CI"/>
        </w:rPr>
      </w:pPr>
      <w:r w:rsidRPr="004366FD">
        <w:rPr>
          <w:rFonts w:ascii="Arial" w:hAnsi="Arial" w:cs="Arial"/>
          <w:sz w:val="24"/>
          <w:szCs w:val="24"/>
          <w:lang w:val="fr-CI"/>
        </w:rPr>
        <w:t>Cycles biannuels au niveau régional pour la CUA.</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7552BE" w:rsidP="004254DD">
      <w:pPr>
        <w:numPr>
          <w:ilvl w:val="0"/>
          <w:numId w:val="8"/>
        </w:numPr>
        <w:spacing w:after="0" w:line="240" w:lineRule="auto"/>
        <w:ind w:left="1276" w:hanging="556"/>
        <w:contextualSpacing/>
        <w:jc w:val="both"/>
        <w:rPr>
          <w:rFonts w:ascii="Arial" w:hAnsi="Arial" w:cs="Arial"/>
          <w:sz w:val="24"/>
          <w:szCs w:val="24"/>
          <w:lang w:val="fr-CI"/>
        </w:rPr>
      </w:pPr>
      <w:r w:rsidRPr="004366FD">
        <w:rPr>
          <w:rFonts w:ascii="Arial" w:hAnsi="Arial" w:cs="Arial"/>
          <w:sz w:val="24"/>
          <w:szCs w:val="24"/>
          <w:lang w:val="fr-CI"/>
        </w:rPr>
        <w:t>Cohérence des formats de rapports qui seront générés électroniquement par chaque CER.</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7552BE" w:rsidP="004254DD">
      <w:pPr>
        <w:numPr>
          <w:ilvl w:val="0"/>
          <w:numId w:val="8"/>
        </w:numPr>
        <w:spacing w:after="0" w:line="240" w:lineRule="auto"/>
        <w:ind w:left="1276" w:hanging="556"/>
        <w:contextualSpacing/>
        <w:jc w:val="both"/>
        <w:rPr>
          <w:rFonts w:ascii="Arial" w:hAnsi="Arial" w:cs="Arial"/>
          <w:sz w:val="24"/>
          <w:szCs w:val="24"/>
          <w:lang w:val="fr-CI"/>
        </w:rPr>
      </w:pPr>
      <w:r w:rsidRPr="004366FD">
        <w:rPr>
          <w:rFonts w:ascii="Arial" w:hAnsi="Arial" w:cs="Arial"/>
          <w:sz w:val="24"/>
          <w:szCs w:val="24"/>
          <w:lang w:val="fr-CI"/>
        </w:rPr>
        <w:t xml:space="preserve">Un projet de modèle de rapport pour l’Agenda 2063 a été élaboré. Le modèle est conçu pour faire rapport sur les priorités nationales, le FTYIP de l’Agenda 2063 et les ODD sans toutefois épuiser les ressources nationales comme l’a demandé le </w:t>
      </w:r>
      <w:r w:rsidRPr="004366FD">
        <w:rPr>
          <w:rFonts w:ascii="Arial" w:hAnsi="Arial" w:cs="Arial"/>
          <w:i/>
          <w:sz w:val="24"/>
          <w:szCs w:val="24"/>
          <w:lang w:val="fr-CI"/>
        </w:rPr>
        <w:t>STC sur les finances, les affaires monétaires, la planification et l’intégration économiques</w:t>
      </w:r>
      <w:r w:rsidRPr="004366FD">
        <w:rPr>
          <w:rFonts w:ascii="Arial" w:hAnsi="Arial" w:cs="Arial"/>
          <w:sz w:val="24"/>
          <w:szCs w:val="24"/>
          <w:lang w:val="fr-CI"/>
        </w:rPr>
        <w:t>.</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Un projet de cadre de S</w:t>
      </w:r>
      <w:r w:rsidR="00331E1D">
        <w:rPr>
          <w:rFonts w:ascii="Arial" w:hAnsi="Arial" w:cs="Arial"/>
          <w:sz w:val="24"/>
          <w:szCs w:val="24"/>
          <w:lang w:val="fr-CI"/>
        </w:rPr>
        <w:t xml:space="preserve"> </w:t>
      </w:r>
      <w:r w:rsidRPr="004366FD">
        <w:rPr>
          <w:rFonts w:ascii="Arial" w:hAnsi="Arial" w:cs="Arial"/>
          <w:sz w:val="24"/>
          <w:szCs w:val="24"/>
          <w:lang w:val="fr-CI"/>
        </w:rPr>
        <w:t>&amp;</w:t>
      </w:r>
      <w:r w:rsidR="00331E1D">
        <w:rPr>
          <w:rFonts w:ascii="Arial" w:hAnsi="Arial" w:cs="Arial"/>
          <w:sz w:val="24"/>
          <w:szCs w:val="24"/>
          <w:lang w:val="fr-CI"/>
        </w:rPr>
        <w:t xml:space="preserve"> </w:t>
      </w:r>
      <w:r w:rsidRPr="004366FD">
        <w:rPr>
          <w:rFonts w:ascii="Arial" w:hAnsi="Arial" w:cs="Arial"/>
          <w:sz w:val="24"/>
          <w:szCs w:val="24"/>
          <w:lang w:val="fr-CI"/>
        </w:rPr>
        <w:t>E devrait être présenté au CTS lors de la réunion de mars 2017 avant son approbation finale par le Sommet de juin 2017.</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b/>
          <w:sz w:val="24"/>
          <w:szCs w:val="24"/>
          <w:lang w:val="fr-CI"/>
        </w:rPr>
      </w:pPr>
      <w:r w:rsidRPr="004366FD">
        <w:rPr>
          <w:rFonts w:ascii="Arial" w:hAnsi="Arial" w:cs="Arial"/>
          <w:b/>
          <w:sz w:val="24"/>
          <w:szCs w:val="24"/>
          <w:lang w:val="fr-CI"/>
        </w:rPr>
        <w:t>Sur la base de ce qui précède, les organes délibérants sont invités à prendre note des progrès réalisés, à examiner, à enrichir et à adopter les mesures suivantes qui ont été proposées :</w:t>
      </w:r>
    </w:p>
    <w:p w:rsidR="004254DD" w:rsidRPr="004366FD" w:rsidRDefault="004254DD" w:rsidP="00AE2F12">
      <w:pPr>
        <w:spacing w:after="0" w:line="240" w:lineRule="auto"/>
        <w:contextualSpacing/>
        <w:jc w:val="both"/>
        <w:rPr>
          <w:rFonts w:ascii="Arial" w:hAnsi="Arial" w:cs="Arial"/>
          <w:b/>
          <w:sz w:val="24"/>
          <w:szCs w:val="24"/>
          <w:lang w:val="fr-CI"/>
        </w:rPr>
      </w:pPr>
    </w:p>
    <w:p w:rsidR="007552BE" w:rsidRPr="004254DD" w:rsidRDefault="007552BE" w:rsidP="004254DD">
      <w:pPr>
        <w:pStyle w:val="ListParagraph"/>
        <w:numPr>
          <w:ilvl w:val="0"/>
          <w:numId w:val="11"/>
        </w:numPr>
        <w:spacing w:after="0" w:line="240" w:lineRule="auto"/>
        <w:ind w:left="1276" w:hanging="567"/>
        <w:jc w:val="both"/>
        <w:rPr>
          <w:rFonts w:ascii="Arial" w:hAnsi="Arial" w:cs="Arial"/>
          <w:i/>
          <w:sz w:val="24"/>
          <w:szCs w:val="24"/>
          <w:lang w:val="fr-CI"/>
        </w:rPr>
      </w:pPr>
      <w:r w:rsidRPr="004254DD">
        <w:rPr>
          <w:rFonts w:ascii="Arial" w:hAnsi="Arial" w:cs="Arial"/>
          <w:i/>
          <w:sz w:val="24"/>
          <w:szCs w:val="24"/>
          <w:lang w:val="fr-CI"/>
        </w:rPr>
        <w:t>Le Sommet doit faire appel au monde pour concevoir et travailler avec le continent afin de nouer les partenariats mondiaux pertinents sur la technologie pour la révolution des données.</w:t>
      </w:r>
    </w:p>
    <w:p w:rsidR="004254DD" w:rsidRDefault="004254DD" w:rsidP="004254DD">
      <w:pPr>
        <w:spacing w:after="0" w:line="240" w:lineRule="auto"/>
        <w:ind w:left="1276"/>
        <w:contextualSpacing/>
        <w:jc w:val="both"/>
        <w:rPr>
          <w:rFonts w:ascii="Arial" w:hAnsi="Arial" w:cs="Arial"/>
          <w:i/>
          <w:sz w:val="24"/>
          <w:szCs w:val="24"/>
          <w:lang w:val="fr-CI"/>
        </w:rPr>
      </w:pPr>
    </w:p>
    <w:p w:rsidR="007552BE" w:rsidRPr="004366FD" w:rsidRDefault="007552BE" w:rsidP="004254DD">
      <w:pPr>
        <w:numPr>
          <w:ilvl w:val="0"/>
          <w:numId w:val="11"/>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 xml:space="preserve">Encourager les États membres à prendre l’engagement de verser des contributions en pourcentage afin de financer le développement statistique et à collaborer avec la Communauté </w:t>
      </w:r>
      <w:r w:rsidR="00BF6120">
        <w:rPr>
          <w:rFonts w:ascii="Arial" w:hAnsi="Arial" w:cs="Arial"/>
          <w:i/>
          <w:sz w:val="24"/>
          <w:szCs w:val="24"/>
          <w:lang w:val="fr-CI"/>
        </w:rPr>
        <w:t>i</w:t>
      </w:r>
      <w:r w:rsidRPr="004366FD">
        <w:rPr>
          <w:rFonts w:ascii="Arial" w:hAnsi="Arial" w:cs="Arial"/>
          <w:i/>
          <w:sz w:val="24"/>
          <w:szCs w:val="24"/>
          <w:lang w:val="fr-CI"/>
        </w:rPr>
        <w:t>nternationale sur la même question.</w:t>
      </w:r>
    </w:p>
    <w:p w:rsidR="004254DD" w:rsidRDefault="004254DD" w:rsidP="004254DD">
      <w:pPr>
        <w:spacing w:after="0" w:line="240" w:lineRule="auto"/>
        <w:ind w:left="1276"/>
        <w:contextualSpacing/>
        <w:jc w:val="both"/>
        <w:rPr>
          <w:rFonts w:ascii="Arial" w:hAnsi="Arial" w:cs="Arial"/>
          <w:i/>
          <w:sz w:val="24"/>
          <w:szCs w:val="24"/>
          <w:lang w:val="fr-CI"/>
        </w:rPr>
      </w:pPr>
    </w:p>
    <w:p w:rsidR="007552BE" w:rsidRPr="004366FD" w:rsidRDefault="007552BE" w:rsidP="004254DD">
      <w:pPr>
        <w:numPr>
          <w:ilvl w:val="0"/>
          <w:numId w:val="11"/>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Approuver la liste d’indicateurs de base validée comme base de suivi et d’évaluation et s’engager à respecter les délais de présentation des rapports.</w:t>
      </w:r>
    </w:p>
    <w:p w:rsidR="004254DD" w:rsidRDefault="004254DD" w:rsidP="004254DD">
      <w:pPr>
        <w:spacing w:after="0" w:line="240" w:lineRule="auto"/>
        <w:ind w:left="1276"/>
        <w:contextualSpacing/>
        <w:jc w:val="both"/>
        <w:rPr>
          <w:rFonts w:ascii="Arial" w:hAnsi="Arial" w:cs="Arial"/>
          <w:i/>
          <w:sz w:val="24"/>
          <w:szCs w:val="24"/>
          <w:lang w:val="fr-CI"/>
        </w:rPr>
      </w:pPr>
    </w:p>
    <w:p w:rsidR="007552BE" w:rsidRPr="004366FD" w:rsidRDefault="007552BE" w:rsidP="004254DD">
      <w:pPr>
        <w:numPr>
          <w:ilvl w:val="0"/>
          <w:numId w:val="11"/>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Les statistiques de l’Agenda 2063 constituent la pierre angulaire de la transformation des économies africaines et un système qui oriente les questions de développement.</w:t>
      </w:r>
    </w:p>
    <w:p w:rsidR="004254DD" w:rsidRDefault="004254DD" w:rsidP="004254DD">
      <w:pPr>
        <w:spacing w:after="0" w:line="240" w:lineRule="auto"/>
        <w:ind w:left="1276"/>
        <w:contextualSpacing/>
        <w:jc w:val="both"/>
        <w:rPr>
          <w:rFonts w:ascii="Arial" w:hAnsi="Arial" w:cs="Arial"/>
          <w:i/>
          <w:sz w:val="24"/>
          <w:szCs w:val="24"/>
          <w:lang w:val="fr-CI"/>
        </w:rPr>
      </w:pPr>
    </w:p>
    <w:p w:rsidR="007552BE" w:rsidRPr="004366FD" w:rsidRDefault="007552BE" w:rsidP="004254DD">
      <w:pPr>
        <w:numPr>
          <w:ilvl w:val="0"/>
          <w:numId w:val="11"/>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La Commission est invitée à :</w:t>
      </w:r>
    </w:p>
    <w:p w:rsidR="004254DD" w:rsidRPr="004254DD" w:rsidRDefault="004254DD" w:rsidP="004254DD">
      <w:pPr>
        <w:spacing w:after="0" w:line="240" w:lineRule="auto"/>
        <w:ind w:left="1440"/>
        <w:contextualSpacing/>
        <w:jc w:val="both"/>
        <w:rPr>
          <w:rFonts w:ascii="Arial" w:hAnsi="Arial" w:cs="Arial"/>
          <w:sz w:val="24"/>
          <w:szCs w:val="24"/>
          <w:lang w:val="fr-CI"/>
        </w:rPr>
      </w:pPr>
    </w:p>
    <w:p w:rsidR="007552BE" w:rsidRPr="004366FD" w:rsidRDefault="007552BE" w:rsidP="004254DD">
      <w:pPr>
        <w:numPr>
          <w:ilvl w:val="1"/>
          <w:numId w:val="18"/>
        </w:numPr>
        <w:spacing w:after="0" w:line="240" w:lineRule="auto"/>
        <w:ind w:left="1843" w:hanging="567"/>
        <w:contextualSpacing/>
        <w:jc w:val="both"/>
        <w:rPr>
          <w:rFonts w:ascii="Arial" w:hAnsi="Arial" w:cs="Arial"/>
          <w:sz w:val="24"/>
          <w:szCs w:val="24"/>
          <w:lang w:val="fr-CI"/>
        </w:rPr>
      </w:pPr>
      <w:r w:rsidRPr="004366FD">
        <w:rPr>
          <w:rFonts w:ascii="Arial" w:eastAsia="Calibri" w:hAnsi="Arial" w:cs="Arial"/>
          <w:i/>
          <w:sz w:val="24"/>
          <w:szCs w:val="24"/>
          <w:lang w:val="fr-CI"/>
        </w:rPr>
        <w:t>finaliser</w:t>
      </w:r>
      <w:r w:rsidRPr="004366FD">
        <w:rPr>
          <w:rFonts w:ascii="Arial" w:hAnsi="Arial" w:cs="Arial"/>
          <w:sz w:val="24"/>
          <w:szCs w:val="24"/>
          <w:lang w:val="fr-CI"/>
        </w:rPr>
        <w:t xml:space="preserve"> </w:t>
      </w:r>
      <w:r w:rsidRPr="004366FD">
        <w:rPr>
          <w:rFonts w:ascii="Arial" w:hAnsi="Arial" w:cs="Arial"/>
          <w:i/>
          <w:sz w:val="24"/>
          <w:szCs w:val="24"/>
          <w:lang w:val="fr-CI"/>
        </w:rPr>
        <w:t>le profilage des indicateurs et des métadonnées pour faciliter une interprétation commune et faciliter la compilation ; et</w:t>
      </w:r>
    </w:p>
    <w:p w:rsidR="004254DD" w:rsidRDefault="004254DD" w:rsidP="004254DD">
      <w:pPr>
        <w:spacing w:after="0" w:line="240" w:lineRule="auto"/>
        <w:ind w:left="1843"/>
        <w:contextualSpacing/>
        <w:jc w:val="both"/>
        <w:rPr>
          <w:rFonts w:ascii="Arial" w:hAnsi="Arial" w:cs="Arial"/>
          <w:i/>
          <w:sz w:val="24"/>
          <w:szCs w:val="24"/>
          <w:lang w:val="fr-CI"/>
        </w:rPr>
      </w:pPr>
    </w:p>
    <w:p w:rsidR="007552BE" w:rsidRPr="004366FD" w:rsidRDefault="004254DD" w:rsidP="004254DD">
      <w:pPr>
        <w:numPr>
          <w:ilvl w:val="1"/>
          <w:numId w:val="18"/>
        </w:numPr>
        <w:spacing w:after="0" w:line="240" w:lineRule="auto"/>
        <w:ind w:left="1843" w:hanging="567"/>
        <w:contextualSpacing/>
        <w:jc w:val="both"/>
        <w:rPr>
          <w:rFonts w:ascii="Arial" w:hAnsi="Arial" w:cs="Arial"/>
          <w:i/>
          <w:sz w:val="24"/>
          <w:szCs w:val="24"/>
          <w:lang w:val="fr-CI"/>
        </w:rPr>
      </w:pPr>
      <w:r>
        <w:rPr>
          <w:rFonts w:ascii="Arial" w:hAnsi="Arial" w:cs="Arial"/>
          <w:i/>
          <w:sz w:val="24"/>
          <w:szCs w:val="24"/>
          <w:lang w:val="fr-CI"/>
        </w:rPr>
        <w:lastRenderedPageBreak/>
        <w:t>a</w:t>
      </w:r>
      <w:r w:rsidR="007552BE" w:rsidRPr="004366FD">
        <w:rPr>
          <w:rFonts w:ascii="Arial" w:hAnsi="Arial" w:cs="Arial"/>
          <w:i/>
          <w:sz w:val="24"/>
          <w:szCs w:val="24"/>
          <w:lang w:val="fr-CI"/>
        </w:rPr>
        <w:t>ssurer la clarté et l’adéquation de chacun des indicateurs et s’assurer qu’ils représentent les objectifs de transformation et d’intégration.</w:t>
      </w:r>
    </w:p>
    <w:p w:rsidR="004254DD" w:rsidRP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7552BE" w:rsidP="004254DD">
      <w:pPr>
        <w:numPr>
          <w:ilvl w:val="0"/>
          <w:numId w:val="11"/>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 xml:space="preserve">Le Sommet doit adopter cette liste minimale d’indicateurs pour l’Agenda 2063 en tant qu’indicateurs de base de l’Agenda 2063 et des Objectifs de Développement </w:t>
      </w:r>
      <w:r w:rsidR="00BF6120">
        <w:rPr>
          <w:rFonts w:ascii="Arial" w:hAnsi="Arial" w:cs="Arial"/>
          <w:i/>
          <w:sz w:val="24"/>
          <w:szCs w:val="24"/>
          <w:lang w:val="fr-CI"/>
        </w:rPr>
        <w:t>d</w:t>
      </w:r>
      <w:r w:rsidRPr="004366FD">
        <w:rPr>
          <w:rFonts w:ascii="Arial" w:hAnsi="Arial" w:cs="Arial"/>
          <w:i/>
          <w:sz w:val="24"/>
          <w:szCs w:val="24"/>
          <w:lang w:val="fr-CI"/>
        </w:rPr>
        <w:t>urable à travers lesquels chaque Office National de Statistique compilera et gérera des données statistiques pour faciliter l’élaboration des programmes de Transformation et d’Intégration de l’Afrique tout en abordant la question des capacités techniques et financières.</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26525D">
      <w:pPr>
        <w:pStyle w:val="ListParagraph"/>
        <w:numPr>
          <w:ilvl w:val="1"/>
          <w:numId w:val="26"/>
        </w:numPr>
        <w:spacing w:after="0" w:line="240" w:lineRule="auto"/>
        <w:ind w:left="1418" w:hanging="709"/>
        <w:jc w:val="both"/>
        <w:rPr>
          <w:rFonts w:ascii="Arial" w:eastAsia="Calibri" w:hAnsi="Arial" w:cs="Arial"/>
          <w:b/>
          <w:bCs/>
          <w:sz w:val="24"/>
          <w:szCs w:val="24"/>
          <w:lang w:val="fr-CI"/>
        </w:rPr>
      </w:pPr>
      <w:r w:rsidRPr="004366FD">
        <w:rPr>
          <w:rFonts w:ascii="Arial" w:eastAsia="Calibri" w:hAnsi="Arial" w:cs="Arial"/>
          <w:b/>
          <w:bCs/>
          <w:sz w:val="24"/>
          <w:szCs w:val="24"/>
          <w:lang w:val="fr-CI"/>
        </w:rPr>
        <w:t>Mobilisation des ressources nationales et stratégie de partenariat</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La CUA, en collaboration avec l’Agence du NEPAD, la BAD et la CEA, organise les 12, 13 et 14 décembre 2016 à Johannesburg (Afrique du Sud) la Réunion des experts sur le financement, la mobilisation des ressources intérieures et la stratégie de partenariat de l’Agenda 2063.</w:t>
      </w: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 </w:t>
      </w:r>
    </w:p>
    <w:p w:rsidR="007552BE"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Les objectifs de la Réunion des experts sont les suivants:</w:t>
      </w:r>
    </w:p>
    <w:p w:rsidR="004254DD" w:rsidRPr="004366FD" w:rsidRDefault="004254DD" w:rsidP="00AE2F12">
      <w:pPr>
        <w:spacing w:after="0" w:line="240" w:lineRule="auto"/>
        <w:contextualSpacing/>
        <w:jc w:val="both"/>
        <w:rPr>
          <w:rFonts w:ascii="Arial" w:hAnsi="Arial" w:cs="Arial"/>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sz w:val="24"/>
          <w:szCs w:val="24"/>
          <w:lang w:val="fr-CI"/>
        </w:rPr>
      </w:pPr>
      <w:r>
        <w:rPr>
          <w:rFonts w:ascii="Arial" w:hAnsi="Arial" w:cs="Arial"/>
          <w:bCs/>
          <w:sz w:val="24"/>
          <w:szCs w:val="24"/>
          <w:lang w:val="fr-CI"/>
        </w:rPr>
        <w:t>a</w:t>
      </w:r>
      <w:r w:rsidR="007552BE" w:rsidRPr="004366FD">
        <w:rPr>
          <w:rFonts w:ascii="Arial" w:hAnsi="Arial" w:cs="Arial"/>
          <w:bCs/>
          <w:sz w:val="24"/>
          <w:szCs w:val="24"/>
          <w:lang w:val="fr-CI"/>
        </w:rPr>
        <w:t>méliorer</w:t>
      </w:r>
      <w:r w:rsidR="007552BE" w:rsidRPr="004366FD">
        <w:rPr>
          <w:rFonts w:ascii="Arial" w:hAnsi="Arial" w:cs="Arial"/>
          <w:sz w:val="24"/>
          <w:szCs w:val="24"/>
          <w:lang w:val="fr-CI"/>
        </w:rPr>
        <w:t xml:space="preserve"> le projet de stratégie de financement et de mobilisation de ressources nationales de l’Agenda 2063 ;</w:t>
      </w:r>
    </w:p>
    <w:p w:rsidR="004254DD" w:rsidRDefault="004254DD" w:rsidP="004254DD">
      <w:pPr>
        <w:spacing w:after="0" w:line="240" w:lineRule="auto"/>
        <w:ind w:left="1276"/>
        <w:contextualSpacing/>
        <w:jc w:val="both"/>
        <w:rPr>
          <w:rFonts w:ascii="Arial" w:hAnsi="Arial" w:cs="Arial"/>
          <w:bCs/>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bCs/>
          <w:sz w:val="24"/>
          <w:szCs w:val="24"/>
          <w:lang w:val="fr-CI"/>
        </w:rPr>
      </w:pPr>
      <w:r>
        <w:rPr>
          <w:rFonts w:ascii="Arial" w:hAnsi="Arial" w:cs="Arial"/>
          <w:bCs/>
          <w:sz w:val="24"/>
          <w:szCs w:val="24"/>
          <w:lang w:val="fr-CI"/>
        </w:rPr>
        <w:t>e</w:t>
      </w:r>
      <w:r w:rsidR="007552BE" w:rsidRPr="004366FD">
        <w:rPr>
          <w:rFonts w:ascii="Arial" w:hAnsi="Arial" w:cs="Arial"/>
          <w:bCs/>
          <w:sz w:val="24"/>
          <w:szCs w:val="24"/>
          <w:lang w:val="fr-CI"/>
        </w:rPr>
        <w:t xml:space="preserve">nregistrer les meilleures pratiques et les innovations en matière de </w:t>
      </w:r>
      <w:r w:rsidR="007552BE" w:rsidRPr="004254DD">
        <w:rPr>
          <w:rFonts w:ascii="Arial" w:hAnsi="Arial" w:cs="Arial"/>
          <w:sz w:val="24"/>
          <w:szCs w:val="24"/>
          <w:lang w:val="fr-CI"/>
        </w:rPr>
        <w:t>mobilisation</w:t>
      </w:r>
      <w:r w:rsidR="007552BE" w:rsidRPr="004366FD">
        <w:rPr>
          <w:rFonts w:ascii="Arial" w:hAnsi="Arial" w:cs="Arial"/>
          <w:bCs/>
          <w:sz w:val="24"/>
          <w:szCs w:val="24"/>
          <w:lang w:val="fr-CI"/>
        </w:rPr>
        <w:t xml:space="preserve"> des ressources nationales (MRN) ;</w:t>
      </w:r>
    </w:p>
    <w:p w:rsidR="004254DD" w:rsidRDefault="004254DD" w:rsidP="004254DD">
      <w:pPr>
        <w:spacing w:after="0" w:line="240" w:lineRule="auto"/>
        <w:ind w:left="1276"/>
        <w:contextualSpacing/>
        <w:jc w:val="both"/>
        <w:rPr>
          <w:rFonts w:ascii="Arial" w:hAnsi="Arial" w:cs="Arial"/>
          <w:bCs/>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bCs/>
          <w:sz w:val="24"/>
          <w:szCs w:val="24"/>
          <w:lang w:val="fr-CI"/>
        </w:rPr>
      </w:pPr>
      <w:r>
        <w:rPr>
          <w:rFonts w:ascii="Arial" w:hAnsi="Arial" w:cs="Arial"/>
          <w:bCs/>
          <w:sz w:val="24"/>
          <w:szCs w:val="24"/>
          <w:lang w:val="fr-CI"/>
        </w:rPr>
        <w:t>f</w:t>
      </w:r>
      <w:r w:rsidR="007552BE" w:rsidRPr="004366FD">
        <w:rPr>
          <w:rFonts w:ascii="Arial" w:hAnsi="Arial" w:cs="Arial"/>
          <w:bCs/>
          <w:sz w:val="24"/>
          <w:szCs w:val="24"/>
          <w:lang w:val="fr-CI"/>
        </w:rPr>
        <w:t xml:space="preserve">ournir des avis d’experts sur le financement des projets phares de </w:t>
      </w:r>
      <w:r w:rsidR="007552BE" w:rsidRPr="004254DD">
        <w:rPr>
          <w:rFonts w:ascii="Arial" w:hAnsi="Arial" w:cs="Arial"/>
          <w:sz w:val="24"/>
          <w:szCs w:val="24"/>
          <w:lang w:val="fr-CI"/>
        </w:rPr>
        <w:t>l’Agenda</w:t>
      </w:r>
      <w:r w:rsidR="007552BE" w:rsidRPr="004366FD">
        <w:rPr>
          <w:rFonts w:ascii="Arial" w:hAnsi="Arial" w:cs="Arial"/>
          <w:bCs/>
          <w:sz w:val="24"/>
          <w:szCs w:val="24"/>
          <w:lang w:val="fr-CI"/>
        </w:rPr>
        <w:t xml:space="preserve"> 2063 ;</w:t>
      </w:r>
    </w:p>
    <w:p w:rsidR="004254DD" w:rsidRPr="004254DD" w:rsidRDefault="004254DD" w:rsidP="004254DD">
      <w:pPr>
        <w:spacing w:after="0" w:line="240" w:lineRule="auto"/>
        <w:ind w:left="1276"/>
        <w:contextualSpacing/>
        <w:jc w:val="both"/>
        <w:rPr>
          <w:rFonts w:ascii="Arial" w:hAnsi="Arial" w:cs="Arial"/>
          <w:bCs/>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bCs/>
          <w:sz w:val="24"/>
          <w:szCs w:val="24"/>
          <w:lang w:val="fr-CI"/>
        </w:rPr>
      </w:pPr>
      <w:r>
        <w:rPr>
          <w:rFonts w:ascii="Arial" w:hAnsi="Arial" w:cs="Arial"/>
          <w:sz w:val="24"/>
          <w:szCs w:val="24"/>
          <w:lang w:val="fr-CI"/>
        </w:rPr>
        <w:t>f</w:t>
      </w:r>
      <w:r w:rsidR="007552BE" w:rsidRPr="004366FD">
        <w:rPr>
          <w:rFonts w:ascii="Arial" w:hAnsi="Arial" w:cs="Arial"/>
          <w:sz w:val="24"/>
          <w:szCs w:val="24"/>
          <w:lang w:val="fr-CI"/>
        </w:rPr>
        <w:t>ournir des conseils d’experts sur la création d’institutions financières continentales et de fonds continentaux ;</w:t>
      </w:r>
    </w:p>
    <w:p w:rsidR="004254DD" w:rsidRDefault="004254DD" w:rsidP="004254DD">
      <w:pPr>
        <w:spacing w:after="0" w:line="240" w:lineRule="auto"/>
        <w:ind w:left="1276"/>
        <w:contextualSpacing/>
        <w:jc w:val="both"/>
        <w:rPr>
          <w:rFonts w:ascii="Arial" w:hAnsi="Arial" w:cs="Arial"/>
          <w:sz w:val="24"/>
          <w:szCs w:val="24"/>
          <w:lang w:val="fr-CI"/>
        </w:rPr>
      </w:pPr>
    </w:p>
    <w:p w:rsidR="007552BE" w:rsidRPr="004366FD" w:rsidRDefault="004254DD" w:rsidP="004254DD">
      <w:pPr>
        <w:numPr>
          <w:ilvl w:val="0"/>
          <w:numId w:val="8"/>
        </w:numPr>
        <w:spacing w:after="0" w:line="240" w:lineRule="auto"/>
        <w:ind w:left="1276" w:hanging="556"/>
        <w:contextualSpacing/>
        <w:jc w:val="both"/>
        <w:rPr>
          <w:rFonts w:ascii="Arial" w:hAnsi="Arial" w:cs="Arial"/>
          <w:sz w:val="24"/>
          <w:szCs w:val="24"/>
          <w:lang w:val="fr-CI"/>
        </w:rPr>
      </w:pPr>
      <w:r>
        <w:rPr>
          <w:rFonts w:ascii="Arial" w:hAnsi="Arial" w:cs="Arial"/>
          <w:sz w:val="24"/>
          <w:szCs w:val="24"/>
          <w:lang w:val="fr-CI"/>
        </w:rPr>
        <w:t>f</w:t>
      </w:r>
      <w:r w:rsidR="007552BE" w:rsidRPr="004366FD">
        <w:rPr>
          <w:rFonts w:ascii="Arial" w:hAnsi="Arial" w:cs="Arial"/>
          <w:sz w:val="24"/>
          <w:szCs w:val="24"/>
          <w:lang w:val="fr-CI"/>
        </w:rPr>
        <w:t>aire des suggestions sur le financement des programmes de transformation socio-économique de l’Afrique intégrés à l’Agenda 2063.</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b/>
          <w:sz w:val="24"/>
          <w:szCs w:val="24"/>
          <w:lang w:val="fr-CI"/>
        </w:rPr>
      </w:pPr>
      <w:r w:rsidRPr="004366FD">
        <w:rPr>
          <w:rFonts w:ascii="Arial" w:hAnsi="Arial" w:cs="Arial"/>
          <w:b/>
          <w:sz w:val="24"/>
          <w:szCs w:val="24"/>
          <w:lang w:val="fr-CI"/>
        </w:rPr>
        <w:t>Les organes délibérants sont invités à prendre note des progrès accomplis et à recommander ce qui suit :</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254DD" w:rsidRDefault="007552BE" w:rsidP="004254DD">
      <w:pPr>
        <w:pStyle w:val="ListParagraph"/>
        <w:numPr>
          <w:ilvl w:val="0"/>
          <w:numId w:val="34"/>
        </w:numPr>
        <w:spacing w:after="0" w:line="240" w:lineRule="auto"/>
        <w:ind w:left="1276" w:hanging="556"/>
        <w:jc w:val="both"/>
        <w:rPr>
          <w:rFonts w:ascii="Arial" w:eastAsia="Calibri" w:hAnsi="Arial" w:cs="Arial"/>
          <w:bCs/>
          <w:i/>
          <w:sz w:val="24"/>
          <w:szCs w:val="24"/>
          <w:lang w:val="fr-CI"/>
        </w:rPr>
      </w:pPr>
      <w:r w:rsidRPr="004254DD">
        <w:rPr>
          <w:rFonts w:ascii="Arial" w:eastAsia="Calibri" w:hAnsi="Arial" w:cs="Arial"/>
          <w:bCs/>
          <w:i/>
          <w:sz w:val="24"/>
          <w:szCs w:val="24"/>
          <w:lang w:val="fr-CI"/>
        </w:rPr>
        <w:t>Inviter la Commission et ses partenaires (Agence du NEPAD, BAD, CEA et autres) à travailler en étroite collaboration avec les institutions pertinentes des États membres afin de finaliser et de soumettre le projet de stratégie de mobilisation des ressources et de partenariat pour adoption par les organes délibérants de l’UA.</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26525D">
      <w:pPr>
        <w:pStyle w:val="ListParagraph"/>
        <w:numPr>
          <w:ilvl w:val="1"/>
          <w:numId w:val="26"/>
        </w:numPr>
        <w:spacing w:after="0" w:line="240" w:lineRule="auto"/>
        <w:ind w:left="1418" w:hanging="709"/>
        <w:jc w:val="both"/>
        <w:rPr>
          <w:rFonts w:ascii="Arial" w:eastAsia="Calibri" w:hAnsi="Arial" w:cs="Arial"/>
          <w:b/>
          <w:bCs/>
          <w:sz w:val="24"/>
          <w:szCs w:val="24"/>
          <w:lang w:val="fr-CI"/>
        </w:rPr>
      </w:pPr>
      <w:r w:rsidRPr="004366FD">
        <w:rPr>
          <w:rFonts w:ascii="Arial" w:eastAsia="Calibri" w:hAnsi="Arial" w:cs="Arial"/>
          <w:b/>
          <w:bCs/>
          <w:sz w:val="24"/>
          <w:szCs w:val="24"/>
          <w:lang w:val="fr-CI"/>
        </w:rPr>
        <w:t>Sensibilisation et vulgarisation</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 xml:space="preserve">La Commission a continué de sensibiliser le public à l’Agenda 2063, principalement par le biais de ses missions d’internalisation auprès des États membres. La publication professionnelle des documents clés de l’Agenda 2063, à savoir : le document-cadre, </w:t>
      </w:r>
      <w:r w:rsidRPr="004366FD">
        <w:rPr>
          <w:rFonts w:ascii="Arial" w:hAnsi="Arial" w:cs="Arial"/>
          <w:sz w:val="24"/>
          <w:szCs w:val="24"/>
          <w:lang w:val="fr-CI"/>
        </w:rPr>
        <w:lastRenderedPageBreak/>
        <w:t>la version populaire et le premier Plan décennal de mise en œuvre, ainsi que les dossiers d’information sur l’Agenda 2063 ont été acquises et font l’objet d’une large distribution auprès des États membres et des autres parties prenantes.</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Récemment, un partenariat avec le Forum des éditeurs africains a également été mis en place afin de renforcer le rôle de la presse écrite dans la sensibilisation sur l’Agenda 2063.</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Toutefois, il demeure un écart important en ce qui concerne la sensibilisation au niveau communautaire alors que de nombreux citoyens africains ordinaires continuent de recevoir des informations adéquates sur l’Agenda 2063. Il s’agit d’un écart important qui limite la capacité des communautés de base à s’approprier l’Agenda 2063 et à l’intégrer dans les activités de développement local, et celle du grand public des États membres à participer aux processus nationaux d’internalisation, notamment les acteurs clés tels que le secteur privé. À cet égard, la Commission a engagé une collaboration avec des organisations de la société civile de l’ensemble du continent, par l’intermédiaire de leurs organes faîtiers, pour concevoir des programmes qui fassent partie de leurs programmes d’éducation civique respectifs. Des consultations régulières se poursuivront au sein de l’ECOSSOC et du Groupe de travail sur les OSC en Afrique. Le secteur de la création africaine est une autre voie que la Commission a ciblée pour accroître la portée de la sensibilisation par le biais de films et de représentations dramatiques radiophoniques. Cette initiative est poursuivie en partenariat avec la Fédération panafricaine des cinéastes (FEPACI)</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b/>
          <w:i/>
          <w:sz w:val="24"/>
          <w:szCs w:val="24"/>
          <w:lang w:val="fr-CI"/>
        </w:rPr>
      </w:pPr>
      <w:r w:rsidRPr="004366FD">
        <w:rPr>
          <w:rFonts w:ascii="Arial" w:hAnsi="Arial" w:cs="Arial"/>
          <w:sz w:val="24"/>
          <w:szCs w:val="24"/>
          <w:lang w:val="fr-CI"/>
        </w:rPr>
        <w:t xml:space="preserve">Au vu de ce qui précède, </w:t>
      </w:r>
      <w:r w:rsidRPr="004366FD">
        <w:rPr>
          <w:rFonts w:ascii="Arial" w:hAnsi="Arial" w:cs="Arial"/>
          <w:b/>
          <w:i/>
          <w:sz w:val="24"/>
          <w:szCs w:val="24"/>
          <w:lang w:val="fr-CI"/>
        </w:rPr>
        <w:t>les organes délibérants sont invités à examiner et à adopter les mesures/recommandations suivantes :</w:t>
      </w:r>
    </w:p>
    <w:p w:rsidR="004254DD" w:rsidRPr="004366FD" w:rsidRDefault="004254DD" w:rsidP="00AE2F12">
      <w:pPr>
        <w:spacing w:after="0" w:line="240" w:lineRule="auto"/>
        <w:contextualSpacing/>
        <w:jc w:val="both"/>
        <w:rPr>
          <w:rFonts w:ascii="Arial" w:hAnsi="Arial" w:cs="Arial"/>
          <w:sz w:val="24"/>
          <w:szCs w:val="24"/>
          <w:lang w:val="fr-CI"/>
        </w:rPr>
      </w:pPr>
    </w:p>
    <w:p w:rsidR="007552BE" w:rsidRPr="004254DD" w:rsidRDefault="006628F0" w:rsidP="004254DD">
      <w:pPr>
        <w:pStyle w:val="ListParagraph"/>
        <w:numPr>
          <w:ilvl w:val="0"/>
          <w:numId w:val="35"/>
        </w:numPr>
        <w:spacing w:after="0" w:line="240" w:lineRule="auto"/>
        <w:ind w:left="1276" w:hanging="556"/>
        <w:jc w:val="both"/>
        <w:rPr>
          <w:rFonts w:ascii="Arial" w:eastAsia="Calibri" w:hAnsi="Arial" w:cs="Arial"/>
          <w:bCs/>
          <w:i/>
          <w:sz w:val="24"/>
          <w:szCs w:val="24"/>
          <w:lang w:val="fr-CI"/>
        </w:rPr>
      </w:pPr>
      <w:r>
        <w:rPr>
          <w:rFonts w:ascii="Arial" w:eastAsia="Calibri" w:hAnsi="Arial" w:cs="Arial"/>
          <w:bCs/>
          <w:i/>
          <w:sz w:val="24"/>
          <w:szCs w:val="24"/>
          <w:lang w:val="fr-CI"/>
        </w:rPr>
        <w:t>i</w:t>
      </w:r>
      <w:r w:rsidR="007552BE" w:rsidRPr="004254DD">
        <w:rPr>
          <w:rFonts w:ascii="Arial" w:eastAsia="Calibri" w:hAnsi="Arial" w:cs="Arial"/>
          <w:bCs/>
          <w:i/>
          <w:sz w:val="24"/>
          <w:szCs w:val="24"/>
          <w:lang w:val="fr-CI"/>
        </w:rPr>
        <w:t>nviter la Commission et ses partenaires à redoubler d’efforts pour :</w:t>
      </w:r>
    </w:p>
    <w:p w:rsidR="004254DD" w:rsidRDefault="004254DD" w:rsidP="004254DD">
      <w:pPr>
        <w:spacing w:after="0" w:line="240" w:lineRule="auto"/>
        <w:ind w:left="1440"/>
        <w:contextualSpacing/>
        <w:jc w:val="both"/>
        <w:rPr>
          <w:rFonts w:ascii="Arial" w:hAnsi="Arial" w:cs="Arial"/>
          <w:i/>
          <w:sz w:val="24"/>
          <w:szCs w:val="24"/>
          <w:lang w:val="fr-CI"/>
        </w:rPr>
      </w:pPr>
    </w:p>
    <w:p w:rsidR="007552BE" w:rsidRPr="004366FD" w:rsidRDefault="007552BE" w:rsidP="006628F0">
      <w:pPr>
        <w:numPr>
          <w:ilvl w:val="1"/>
          <w:numId w:val="18"/>
        </w:numPr>
        <w:spacing w:after="0" w:line="240" w:lineRule="auto"/>
        <w:ind w:left="1843" w:hanging="567"/>
        <w:contextualSpacing/>
        <w:jc w:val="both"/>
        <w:rPr>
          <w:rFonts w:ascii="Arial" w:hAnsi="Arial" w:cs="Arial"/>
          <w:i/>
          <w:sz w:val="24"/>
          <w:szCs w:val="24"/>
          <w:lang w:val="fr-CI"/>
        </w:rPr>
      </w:pPr>
      <w:r w:rsidRPr="004366FD">
        <w:rPr>
          <w:rFonts w:ascii="Arial" w:hAnsi="Arial" w:cs="Arial"/>
          <w:i/>
          <w:sz w:val="24"/>
          <w:szCs w:val="24"/>
          <w:lang w:val="fr-CI"/>
        </w:rPr>
        <w:t xml:space="preserve">développer des </w:t>
      </w:r>
      <w:r w:rsidRPr="004366FD">
        <w:rPr>
          <w:rFonts w:ascii="Arial" w:eastAsia="Calibri" w:hAnsi="Arial" w:cs="Arial"/>
          <w:bCs/>
          <w:i/>
          <w:sz w:val="24"/>
          <w:szCs w:val="24"/>
          <w:lang w:val="fr-CI"/>
        </w:rPr>
        <w:t>produits</w:t>
      </w:r>
      <w:r w:rsidRPr="004366FD">
        <w:rPr>
          <w:rFonts w:ascii="Arial" w:hAnsi="Arial" w:cs="Arial"/>
          <w:i/>
          <w:sz w:val="24"/>
          <w:szCs w:val="24"/>
          <w:lang w:val="fr-CI"/>
        </w:rPr>
        <w:t xml:space="preserve"> de communication simples et conviviaux pour faciliter la compréhension et l’appropriation de l’Agenda 2063 par les citoyens ordinaires, su</w:t>
      </w:r>
      <w:r w:rsidR="004254DD">
        <w:rPr>
          <w:rFonts w:ascii="Arial" w:hAnsi="Arial" w:cs="Arial"/>
          <w:i/>
          <w:sz w:val="24"/>
          <w:szCs w:val="24"/>
          <w:lang w:val="fr-CI"/>
        </w:rPr>
        <w:t>rtout au niveau des communautés ;</w:t>
      </w:r>
    </w:p>
    <w:p w:rsidR="004254DD" w:rsidRPr="004254DD" w:rsidRDefault="004254DD" w:rsidP="006628F0">
      <w:pPr>
        <w:spacing w:after="0" w:line="240" w:lineRule="auto"/>
        <w:ind w:left="1843" w:hanging="567"/>
        <w:contextualSpacing/>
        <w:jc w:val="both"/>
        <w:rPr>
          <w:rFonts w:ascii="Arial" w:hAnsi="Arial" w:cs="Arial"/>
          <w:i/>
          <w:sz w:val="24"/>
          <w:szCs w:val="24"/>
          <w:lang w:val="fr-CI"/>
        </w:rPr>
      </w:pPr>
    </w:p>
    <w:p w:rsidR="007552BE" w:rsidRDefault="004254DD" w:rsidP="006628F0">
      <w:pPr>
        <w:numPr>
          <w:ilvl w:val="1"/>
          <w:numId w:val="18"/>
        </w:numPr>
        <w:spacing w:after="0" w:line="240" w:lineRule="auto"/>
        <w:ind w:left="1843" w:hanging="567"/>
        <w:contextualSpacing/>
        <w:jc w:val="both"/>
        <w:rPr>
          <w:rFonts w:ascii="Arial" w:hAnsi="Arial" w:cs="Arial"/>
          <w:i/>
          <w:sz w:val="24"/>
          <w:szCs w:val="24"/>
          <w:lang w:val="fr-CI"/>
        </w:rPr>
      </w:pPr>
      <w:r>
        <w:rPr>
          <w:rFonts w:ascii="Arial" w:eastAsia="Calibri" w:hAnsi="Arial" w:cs="Arial"/>
          <w:bCs/>
          <w:i/>
          <w:sz w:val="24"/>
          <w:szCs w:val="24"/>
          <w:lang w:val="fr-CI"/>
        </w:rPr>
        <w:t>c</w:t>
      </w:r>
      <w:r w:rsidR="007552BE" w:rsidRPr="004366FD">
        <w:rPr>
          <w:rFonts w:ascii="Arial" w:eastAsia="Calibri" w:hAnsi="Arial" w:cs="Arial"/>
          <w:bCs/>
          <w:i/>
          <w:sz w:val="24"/>
          <w:szCs w:val="24"/>
          <w:lang w:val="fr-CI"/>
        </w:rPr>
        <w:t>ollaborer</w:t>
      </w:r>
      <w:r w:rsidR="007552BE" w:rsidRPr="004366FD">
        <w:rPr>
          <w:rFonts w:ascii="Arial" w:hAnsi="Arial" w:cs="Arial"/>
          <w:i/>
          <w:sz w:val="24"/>
          <w:szCs w:val="24"/>
          <w:lang w:val="fr-CI"/>
        </w:rPr>
        <w:t xml:space="preserve"> avec l’ACALAN pour traduire, imprimer et diffuser la version populaire dans les principales langues africaines, en particulier les langues transfrontalières en Afrique de l’Ouest, de l’Est, du Centre et en Afrique australe</w:t>
      </w:r>
      <w:r>
        <w:rPr>
          <w:rFonts w:ascii="Arial" w:hAnsi="Arial" w:cs="Arial"/>
          <w:i/>
          <w:sz w:val="24"/>
          <w:szCs w:val="24"/>
          <w:lang w:val="fr-CI"/>
        </w:rPr>
        <w:t>.</w:t>
      </w:r>
    </w:p>
    <w:p w:rsidR="004254DD" w:rsidRPr="004366FD" w:rsidRDefault="004254DD" w:rsidP="004254DD">
      <w:pPr>
        <w:spacing w:after="0" w:line="240" w:lineRule="auto"/>
        <w:ind w:left="1440"/>
        <w:contextualSpacing/>
        <w:jc w:val="both"/>
        <w:rPr>
          <w:rFonts w:ascii="Arial" w:hAnsi="Arial" w:cs="Arial"/>
          <w:i/>
          <w:sz w:val="24"/>
          <w:szCs w:val="24"/>
          <w:lang w:val="fr-CI"/>
        </w:rPr>
      </w:pPr>
    </w:p>
    <w:p w:rsidR="007552BE" w:rsidRPr="004366FD" w:rsidRDefault="006628F0" w:rsidP="004254DD">
      <w:pPr>
        <w:pStyle w:val="ListParagraph"/>
        <w:numPr>
          <w:ilvl w:val="0"/>
          <w:numId w:val="35"/>
        </w:numPr>
        <w:spacing w:after="0" w:line="240" w:lineRule="auto"/>
        <w:ind w:left="1276" w:hanging="556"/>
        <w:jc w:val="both"/>
        <w:rPr>
          <w:rFonts w:ascii="Arial" w:eastAsia="Calibri" w:hAnsi="Arial" w:cs="Arial"/>
          <w:bCs/>
          <w:i/>
          <w:sz w:val="24"/>
          <w:szCs w:val="24"/>
          <w:lang w:val="fr-CI"/>
        </w:rPr>
      </w:pPr>
      <w:r>
        <w:rPr>
          <w:rFonts w:ascii="Arial" w:eastAsia="Calibri" w:hAnsi="Arial" w:cs="Arial"/>
          <w:bCs/>
          <w:i/>
          <w:sz w:val="24"/>
          <w:szCs w:val="24"/>
          <w:lang w:val="fr-CI"/>
        </w:rPr>
        <w:t>i</w:t>
      </w:r>
      <w:r w:rsidR="007552BE" w:rsidRPr="004366FD">
        <w:rPr>
          <w:rFonts w:ascii="Arial" w:eastAsia="Calibri" w:hAnsi="Arial" w:cs="Arial"/>
          <w:bCs/>
          <w:i/>
          <w:sz w:val="24"/>
          <w:szCs w:val="24"/>
          <w:lang w:val="fr-CI"/>
        </w:rPr>
        <w:t>nviter les États membres à mettre en place des mesures visant à vulgariser l’Agenda 2063, à travers les médias d’État (TV, Radio, Presse) et autres actions, et à encourager les ministères de l’Information et de la Communication à travailler avec les opérateurs de communication GSM pour diffuser des</w:t>
      </w:r>
      <w:r>
        <w:rPr>
          <w:rFonts w:ascii="Arial" w:eastAsia="Calibri" w:hAnsi="Arial" w:cs="Arial"/>
          <w:bCs/>
          <w:i/>
          <w:sz w:val="24"/>
          <w:szCs w:val="24"/>
          <w:lang w:val="fr-CI"/>
        </w:rPr>
        <w:t xml:space="preserve"> informations sur l’Agenda 2063 ;</w:t>
      </w:r>
    </w:p>
    <w:p w:rsidR="004254DD" w:rsidRDefault="004254DD" w:rsidP="004254DD">
      <w:pPr>
        <w:pStyle w:val="ListParagraph"/>
        <w:spacing w:after="0" w:line="240" w:lineRule="auto"/>
        <w:ind w:left="1276"/>
        <w:jc w:val="both"/>
        <w:rPr>
          <w:rFonts w:ascii="Arial" w:eastAsia="Calibri" w:hAnsi="Arial" w:cs="Arial"/>
          <w:bCs/>
          <w:i/>
          <w:sz w:val="24"/>
          <w:szCs w:val="24"/>
          <w:lang w:val="fr-CI"/>
        </w:rPr>
      </w:pPr>
    </w:p>
    <w:p w:rsidR="007552BE" w:rsidRPr="004366FD" w:rsidRDefault="006628F0" w:rsidP="004254DD">
      <w:pPr>
        <w:pStyle w:val="ListParagraph"/>
        <w:numPr>
          <w:ilvl w:val="0"/>
          <w:numId w:val="35"/>
        </w:numPr>
        <w:spacing w:after="0" w:line="240" w:lineRule="auto"/>
        <w:ind w:left="1276" w:hanging="556"/>
        <w:jc w:val="both"/>
        <w:rPr>
          <w:rFonts w:ascii="Arial" w:eastAsia="Calibri" w:hAnsi="Arial" w:cs="Arial"/>
          <w:bCs/>
          <w:i/>
          <w:sz w:val="24"/>
          <w:szCs w:val="24"/>
          <w:lang w:val="fr-CI"/>
        </w:rPr>
      </w:pPr>
      <w:r>
        <w:rPr>
          <w:rFonts w:ascii="Arial" w:eastAsia="Calibri" w:hAnsi="Arial" w:cs="Arial"/>
          <w:bCs/>
          <w:i/>
          <w:sz w:val="24"/>
          <w:szCs w:val="24"/>
          <w:lang w:val="fr-CI"/>
        </w:rPr>
        <w:t>i</w:t>
      </w:r>
      <w:r w:rsidR="007552BE" w:rsidRPr="004366FD">
        <w:rPr>
          <w:rFonts w:ascii="Arial" w:eastAsia="Calibri" w:hAnsi="Arial" w:cs="Arial"/>
          <w:bCs/>
          <w:i/>
          <w:sz w:val="24"/>
          <w:szCs w:val="24"/>
          <w:lang w:val="fr-CI"/>
        </w:rPr>
        <w:t>nviter l’ECOSSOC, en collaboration avec la CUA, à mobiliser la société civile et la diaspora afin de renforcer la sensibilisation à l’Agenda 2063 au niveau de la société civile et de la diaspora.</w:t>
      </w:r>
    </w:p>
    <w:p w:rsidR="007552BE" w:rsidRDefault="007552BE" w:rsidP="00AE2F12">
      <w:pPr>
        <w:spacing w:after="0" w:line="240" w:lineRule="auto"/>
        <w:contextualSpacing/>
        <w:jc w:val="both"/>
        <w:rPr>
          <w:rFonts w:ascii="Arial" w:hAnsi="Arial" w:cs="Arial"/>
          <w:sz w:val="24"/>
          <w:szCs w:val="24"/>
          <w:lang w:val="fr-CI"/>
        </w:rPr>
      </w:pPr>
    </w:p>
    <w:p w:rsidR="006628F0" w:rsidRPr="004366FD" w:rsidRDefault="006628F0" w:rsidP="00AE2F12">
      <w:pPr>
        <w:spacing w:after="0" w:line="240" w:lineRule="auto"/>
        <w:contextualSpacing/>
        <w:jc w:val="both"/>
        <w:rPr>
          <w:rFonts w:ascii="Arial" w:hAnsi="Arial" w:cs="Arial"/>
          <w:sz w:val="24"/>
          <w:szCs w:val="24"/>
          <w:lang w:val="fr-CI"/>
        </w:rPr>
      </w:pPr>
    </w:p>
    <w:p w:rsidR="007552BE" w:rsidRPr="004366FD" w:rsidRDefault="007552BE" w:rsidP="0026525D">
      <w:pPr>
        <w:pStyle w:val="ListParagraph"/>
        <w:numPr>
          <w:ilvl w:val="1"/>
          <w:numId w:val="26"/>
        </w:numPr>
        <w:spacing w:after="0" w:line="240" w:lineRule="auto"/>
        <w:ind w:left="1418" w:hanging="709"/>
        <w:jc w:val="both"/>
        <w:rPr>
          <w:rFonts w:ascii="Arial" w:eastAsia="Calibri" w:hAnsi="Arial" w:cs="Arial"/>
          <w:b/>
          <w:bCs/>
          <w:sz w:val="24"/>
          <w:szCs w:val="24"/>
          <w:lang w:val="fr-CI"/>
        </w:rPr>
      </w:pPr>
      <w:r w:rsidRPr="004366FD">
        <w:rPr>
          <w:rFonts w:ascii="Arial" w:eastAsia="Calibri" w:hAnsi="Arial" w:cs="Arial"/>
          <w:b/>
          <w:bCs/>
          <w:sz w:val="24"/>
          <w:szCs w:val="24"/>
          <w:lang w:val="fr-CI"/>
        </w:rPr>
        <w:lastRenderedPageBreak/>
        <w:t>Élaboration d’un nouveau Plan de la Commission de l’UA pour succéder au Plan stratégique 2014-2017</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Le Plan stratégique 2014-2017 de la CUA tire à sa fin et un plan subséquent est nécessaire pour orienter les travaux de la Commission au cours des prochaines années. Le nouveau plan doit toutefois être élaboré dans un contexte différent de celui du plan précédent. Le continent doit, avec l’Agenda 2063 et à son premier Plan décennal de mise en œuvre désormais dégager les priorités et les plans de développement aux niveaux national, régional et continental. Il convient également de noter que la 27</w:t>
      </w:r>
      <w:r w:rsidRPr="004366FD">
        <w:rPr>
          <w:rFonts w:ascii="Arial" w:hAnsi="Arial" w:cs="Arial"/>
          <w:sz w:val="24"/>
          <w:szCs w:val="24"/>
          <w:vertAlign w:val="superscript"/>
          <w:lang w:val="fr-CI"/>
        </w:rPr>
        <w:t>e</w:t>
      </w:r>
      <w:r w:rsidRPr="004366FD">
        <w:rPr>
          <w:rFonts w:ascii="Arial" w:hAnsi="Arial" w:cs="Arial"/>
          <w:sz w:val="24"/>
          <w:szCs w:val="24"/>
          <w:lang w:val="fr-CI"/>
        </w:rPr>
        <w:t xml:space="preserve"> Conférence de l’Union a adopté une décision de financement des Programmes et opérations de l’Union à travers un prélèvement de 0,2</w:t>
      </w:r>
      <w:r w:rsidR="00331E1D">
        <w:rPr>
          <w:rFonts w:ascii="Arial" w:hAnsi="Arial" w:cs="Arial"/>
          <w:sz w:val="24"/>
          <w:szCs w:val="24"/>
          <w:lang w:val="fr-CI"/>
        </w:rPr>
        <w:t> </w:t>
      </w:r>
      <w:r w:rsidRPr="004366FD">
        <w:rPr>
          <w:rFonts w:ascii="Arial" w:hAnsi="Arial" w:cs="Arial"/>
          <w:sz w:val="24"/>
          <w:szCs w:val="24"/>
          <w:lang w:val="fr-CI"/>
        </w:rPr>
        <w:t>% sur certaines importations. Ces deux évolutions ont une incidence directe sur la conception, la mise en œuvre et le financement du nouveau plan.</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En outre, des leçons précieuses ont été tirées de l’auto-évaluation du Plan stratégique 2014-2017, des résultats de l’exercice de cartographie, ainsi que des conclusions et recommandations de l’Atelier d’internalisation au sein de la CUA tenu les 29 et 30 novembre 2016 avec d’autres organes et les CER.</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Default="007552BE" w:rsidP="00AE2F12">
      <w:pPr>
        <w:spacing w:after="0" w:line="240" w:lineRule="auto"/>
        <w:contextualSpacing/>
        <w:jc w:val="both"/>
        <w:rPr>
          <w:rFonts w:ascii="Arial" w:hAnsi="Arial" w:cs="Arial"/>
          <w:b/>
          <w:sz w:val="24"/>
          <w:szCs w:val="24"/>
          <w:lang w:val="fr-CI"/>
        </w:rPr>
      </w:pPr>
      <w:r w:rsidRPr="004366FD">
        <w:rPr>
          <w:rFonts w:ascii="Arial" w:hAnsi="Arial" w:cs="Arial"/>
          <w:b/>
          <w:sz w:val="24"/>
          <w:szCs w:val="24"/>
          <w:lang w:val="fr-CI"/>
        </w:rPr>
        <w:t>Les principales leçons apprises sont les suivantes :</w:t>
      </w:r>
    </w:p>
    <w:p w:rsidR="004254DD" w:rsidRPr="004366FD" w:rsidRDefault="004254DD" w:rsidP="00AE2F12">
      <w:pPr>
        <w:spacing w:after="0" w:line="240" w:lineRule="auto"/>
        <w:contextualSpacing/>
        <w:jc w:val="both"/>
        <w:rPr>
          <w:rFonts w:ascii="Arial" w:hAnsi="Arial" w:cs="Arial"/>
          <w:b/>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Alignement et consolidation :</w:t>
      </w:r>
      <w:r w:rsidRPr="004366FD">
        <w:rPr>
          <w:rFonts w:ascii="Arial" w:hAnsi="Arial" w:cs="Arial"/>
          <w:sz w:val="24"/>
          <w:szCs w:val="24"/>
          <w:lang w:val="fr-CI"/>
        </w:rPr>
        <w:t xml:space="preserve"> désormais, l’identification et le séquençage des priorités, la mise en œuvre, le suivi et l’évaluation doivent se conformer strictement aux dispositions FTYIP de l’Agenda 2063. En outre, les nombreux cadres, stratégies et plans d’action continentaux existants devraient être consolidés et le processus de lancement de nouveaux cadres strictement rationnels.</w:t>
      </w: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Il conviendrait de mettre en place des mécanismes d’interaction et d’institutionnalisation de la planification, de la révision et de l’évaluation conjointes transparents</w:t>
      </w:r>
      <w:r w:rsidRPr="004366FD">
        <w:rPr>
          <w:rFonts w:ascii="Arial" w:hAnsi="Arial" w:cs="Arial"/>
          <w:sz w:val="24"/>
          <w:szCs w:val="24"/>
          <w:lang w:val="fr-CI"/>
        </w:rPr>
        <w:t>. Ceci renforcera la collaboration entre les départements et le concept de «</w:t>
      </w:r>
      <w:r w:rsidR="00331E1D">
        <w:rPr>
          <w:rFonts w:ascii="Arial" w:hAnsi="Arial" w:cs="Arial"/>
          <w:sz w:val="24"/>
          <w:szCs w:val="24"/>
          <w:lang w:val="fr-CI"/>
        </w:rPr>
        <w:t> </w:t>
      </w:r>
      <w:r w:rsidRPr="004366FD">
        <w:rPr>
          <w:rFonts w:ascii="Arial" w:hAnsi="Arial" w:cs="Arial"/>
          <w:sz w:val="24"/>
          <w:szCs w:val="24"/>
          <w:lang w:val="fr-CI"/>
        </w:rPr>
        <w:t>fournir des résultats ensemble</w:t>
      </w:r>
      <w:r w:rsidR="00331E1D">
        <w:rPr>
          <w:rFonts w:ascii="Arial" w:hAnsi="Arial" w:cs="Arial"/>
          <w:sz w:val="24"/>
          <w:szCs w:val="24"/>
          <w:lang w:val="fr-CI"/>
        </w:rPr>
        <w:t> </w:t>
      </w:r>
      <w:r w:rsidRPr="004366FD">
        <w:rPr>
          <w:rFonts w:ascii="Arial" w:hAnsi="Arial" w:cs="Arial"/>
          <w:sz w:val="24"/>
          <w:szCs w:val="24"/>
          <w:lang w:val="fr-CI"/>
        </w:rPr>
        <w:t>» – CUA, organes et CER.</w:t>
      </w: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Accent mis davantage sur les résultats, la responsabilisation et la transparence :</w:t>
      </w:r>
      <w:r w:rsidRPr="004366FD">
        <w:rPr>
          <w:rFonts w:ascii="Arial" w:hAnsi="Arial" w:cs="Arial"/>
          <w:sz w:val="24"/>
          <w:szCs w:val="24"/>
          <w:lang w:val="fr-CI"/>
        </w:rPr>
        <w:t xml:space="preserve"> cela est particulièrement important en ce sens qu’ils permettront de mesurer les impacts que ressentiront les citoyens africains sur le terrain. Il faut donc mettre au point des outils permettant de mesurer ou d’évaluer la perception qu’ont les citoyens de la pertinence et des effets des programmes et des opérations de la CUA au niveau des États membres.</w:t>
      </w: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Une approche intégrée (structurelle et institutionnelle) de la planification et de la budgétisation</w:t>
      </w:r>
      <w:r w:rsidRPr="004366FD">
        <w:rPr>
          <w:rFonts w:ascii="Arial" w:hAnsi="Arial" w:cs="Arial"/>
          <w:sz w:val="24"/>
          <w:szCs w:val="24"/>
          <w:lang w:val="fr-CI"/>
        </w:rPr>
        <w:t> : Une proposition qui permettra d’atteindre ce but est de réunir les fonctions de planification et de budgétisation au sein d’une entité centrale unique.</w:t>
      </w:r>
    </w:p>
    <w:p w:rsidR="006628F0" w:rsidRDefault="006628F0" w:rsidP="006628F0">
      <w:pPr>
        <w:spacing w:after="0" w:line="240" w:lineRule="auto"/>
        <w:ind w:left="1276"/>
        <w:contextualSpacing/>
        <w:jc w:val="both"/>
        <w:rPr>
          <w:rFonts w:ascii="Arial" w:hAnsi="Arial" w:cs="Arial"/>
          <w:sz w:val="24"/>
          <w:szCs w:val="24"/>
          <w:lang w:val="fr-CI"/>
        </w:rPr>
      </w:pPr>
    </w:p>
    <w:p w:rsidR="006628F0" w:rsidRDefault="006628F0" w:rsidP="006628F0">
      <w:pPr>
        <w:spacing w:after="0" w:line="240" w:lineRule="auto"/>
        <w:ind w:left="1276"/>
        <w:contextualSpacing/>
        <w:jc w:val="both"/>
        <w:rPr>
          <w:rFonts w:ascii="Arial" w:hAnsi="Arial" w:cs="Arial"/>
          <w:sz w:val="24"/>
          <w:szCs w:val="24"/>
          <w:lang w:val="fr-CI"/>
        </w:rPr>
      </w:pP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lastRenderedPageBreak/>
        <w:t>Accélération de la mise en œuvre des plans pluriannuels et des budgets par le biais du (MTEF)</w:t>
      </w:r>
      <w:r w:rsidRPr="004366FD">
        <w:rPr>
          <w:rFonts w:ascii="Arial" w:hAnsi="Arial" w:cs="Arial"/>
          <w:sz w:val="24"/>
          <w:szCs w:val="24"/>
          <w:lang w:val="fr-CI"/>
        </w:rPr>
        <w:t xml:space="preserve"> – ce qui facilitera la planification à long terme des ressources, tout en offrant la flexibilité nécessaire pour répondre aux nouveaux besoins et priorités.</w:t>
      </w: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Renouvellement</w:t>
      </w:r>
      <w:r w:rsidRPr="004366FD">
        <w:rPr>
          <w:rFonts w:ascii="Arial" w:hAnsi="Arial" w:cs="Arial"/>
          <w:sz w:val="24"/>
          <w:szCs w:val="24"/>
          <w:lang w:val="fr-CI"/>
        </w:rPr>
        <w:t xml:space="preserve"> : toutes les parties prenantes doivent aligner leurs visions, leurs missions et leurs structures, ainsi que leurs plans sur les impératifs du FTYIP.</w:t>
      </w: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S’attaquer aux problèmes de capacité vitale</w:t>
      </w:r>
      <w:r w:rsidRPr="004366FD">
        <w:rPr>
          <w:rFonts w:ascii="Arial" w:hAnsi="Arial" w:cs="Arial"/>
          <w:sz w:val="24"/>
          <w:szCs w:val="24"/>
          <w:lang w:val="fr-CI"/>
        </w:rPr>
        <w:t xml:space="preserve"> pour renforcer la capacité de la Commission à mettre en œuvre ses programmes, en particulier les projets phares de l’Agenda 2063.</w:t>
      </w: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Cohérence stricte entre les plans annuels des départements</w:t>
      </w:r>
      <w:r w:rsidR="00331E1D">
        <w:rPr>
          <w:rFonts w:ascii="Arial" w:hAnsi="Arial" w:cs="Arial"/>
          <w:i/>
          <w:sz w:val="24"/>
          <w:szCs w:val="24"/>
          <w:lang w:val="fr-CI"/>
        </w:rPr>
        <w:t>/</w:t>
      </w:r>
      <w:r w:rsidRPr="004366FD">
        <w:rPr>
          <w:rFonts w:ascii="Arial" w:hAnsi="Arial" w:cs="Arial"/>
          <w:i/>
          <w:sz w:val="24"/>
          <w:szCs w:val="24"/>
          <w:lang w:val="fr-CI"/>
        </w:rPr>
        <w:t>directions</w:t>
      </w:r>
      <w:r w:rsidR="00331E1D">
        <w:rPr>
          <w:rFonts w:ascii="Arial" w:hAnsi="Arial" w:cs="Arial"/>
          <w:i/>
          <w:sz w:val="24"/>
          <w:szCs w:val="24"/>
          <w:lang w:val="fr-CI"/>
        </w:rPr>
        <w:t>/</w:t>
      </w:r>
      <w:r w:rsidRPr="004366FD">
        <w:rPr>
          <w:rFonts w:ascii="Arial" w:hAnsi="Arial" w:cs="Arial"/>
          <w:i/>
          <w:sz w:val="24"/>
          <w:szCs w:val="24"/>
          <w:lang w:val="fr-CI"/>
        </w:rPr>
        <w:t>unités de la Commission et le cadre des résultats du plan à moyen terme lors de l’élaboration des plans de travail annuels :</w:t>
      </w:r>
      <w:r w:rsidRPr="004366FD">
        <w:rPr>
          <w:rFonts w:ascii="Arial" w:hAnsi="Arial" w:cs="Arial"/>
          <w:sz w:val="24"/>
          <w:szCs w:val="24"/>
          <w:lang w:val="fr-CI"/>
        </w:rPr>
        <w:t xml:space="preserve"> ceci est essentiel pour la responsabilisation et la prestation des services.</w:t>
      </w:r>
    </w:p>
    <w:p w:rsidR="006628F0" w:rsidRPr="006628F0" w:rsidRDefault="006628F0" w:rsidP="006628F0">
      <w:pPr>
        <w:spacing w:after="0" w:line="240" w:lineRule="auto"/>
        <w:ind w:left="1276"/>
        <w:contextualSpacing/>
        <w:jc w:val="both"/>
        <w:rPr>
          <w:rFonts w:ascii="Arial" w:hAnsi="Arial" w:cs="Arial"/>
          <w:sz w:val="24"/>
          <w:szCs w:val="24"/>
          <w:lang w:val="fr-CI"/>
        </w:rPr>
      </w:pPr>
    </w:p>
    <w:p w:rsidR="007552BE" w:rsidRPr="004366FD" w:rsidRDefault="007552BE" w:rsidP="006628F0">
      <w:pPr>
        <w:numPr>
          <w:ilvl w:val="0"/>
          <w:numId w:val="22"/>
        </w:numPr>
        <w:spacing w:after="0" w:line="240" w:lineRule="auto"/>
        <w:ind w:left="1276" w:hanging="567"/>
        <w:contextualSpacing/>
        <w:jc w:val="both"/>
        <w:rPr>
          <w:rFonts w:ascii="Arial" w:hAnsi="Arial" w:cs="Arial"/>
          <w:sz w:val="24"/>
          <w:szCs w:val="24"/>
          <w:lang w:val="fr-CI"/>
        </w:rPr>
      </w:pPr>
      <w:r w:rsidRPr="004366FD">
        <w:rPr>
          <w:rFonts w:ascii="Arial" w:hAnsi="Arial" w:cs="Arial"/>
          <w:i/>
          <w:sz w:val="24"/>
          <w:szCs w:val="24"/>
          <w:lang w:val="fr-CI"/>
        </w:rPr>
        <w:t>Communication</w:t>
      </w:r>
      <w:r w:rsidRPr="004366FD">
        <w:rPr>
          <w:rFonts w:ascii="Arial" w:hAnsi="Arial" w:cs="Arial"/>
          <w:sz w:val="24"/>
          <w:szCs w:val="24"/>
          <w:lang w:val="fr-CI"/>
        </w:rPr>
        <w:t xml:space="preserve"> </w:t>
      </w:r>
      <w:r w:rsidRPr="004366FD">
        <w:rPr>
          <w:rFonts w:ascii="Arial" w:hAnsi="Arial" w:cs="Arial"/>
          <w:i/>
          <w:sz w:val="24"/>
          <w:szCs w:val="24"/>
          <w:lang w:val="fr-CI"/>
        </w:rPr>
        <w:t xml:space="preserve">et sensibilisation </w:t>
      </w:r>
      <w:r w:rsidRPr="004366FD">
        <w:rPr>
          <w:rFonts w:ascii="Arial" w:hAnsi="Arial" w:cs="Arial"/>
          <w:sz w:val="24"/>
          <w:szCs w:val="24"/>
          <w:lang w:val="fr-CI"/>
        </w:rPr>
        <w:t xml:space="preserve">: la Commission devrait déployer un effort </w:t>
      </w:r>
      <w:r w:rsidRPr="006628F0">
        <w:rPr>
          <w:rFonts w:ascii="Arial" w:hAnsi="Arial" w:cs="Arial"/>
          <w:i/>
          <w:sz w:val="24"/>
          <w:szCs w:val="24"/>
          <w:lang w:val="fr-CI"/>
        </w:rPr>
        <w:t>beaucoup</w:t>
      </w:r>
      <w:r w:rsidRPr="004366FD">
        <w:rPr>
          <w:rFonts w:ascii="Arial" w:hAnsi="Arial" w:cs="Arial"/>
          <w:sz w:val="24"/>
          <w:szCs w:val="24"/>
          <w:lang w:val="fr-CI"/>
        </w:rPr>
        <w:t xml:space="preserve"> plus important pour faire connaître son travail – par l’intermédiaire de l’ECOSSOC et de ses sections nationales – et pour renforcer l’apport des citoyens africains dans ses travaux.</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b/>
          <w:sz w:val="24"/>
          <w:szCs w:val="24"/>
          <w:lang w:val="fr-CI"/>
        </w:rPr>
      </w:pPr>
      <w:r w:rsidRPr="004366FD">
        <w:rPr>
          <w:rFonts w:ascii="Arial" w:hAnsi="Arial" w:cs="Arial"/>
          <w:b/>
          <w:sz w:val="24"/>
          <w:szCs w:val="24"/>
          <w:lang w:val="fr-CI"/>
        </w:rPr>
        <w:t xml:space="preserve">Sur la base des leçons ci-dessus et du nouveau contexte du plan, les organes délibérants de l’UA sont invités à examiner et </w:t>
      </w:r>
      <w:r w:rsidR="006628F0">
        <w:rPr>
          <w:rFonts w:ascii="Arial" w:hAnsi="Arial" w:cs="Arial"/>
          <w:b/>
          <w:sz w:val="24"/>
          <w:szCs w:val="24"/>
          <w:lang w:val="fr-CI"/>
        </w:rPr>
        <w:t>à adopter les mesures suivantes</w:t>
      </w:r>
      <w:r w:rsidRPr="004366FD">
        <w:rPr>
          <w:rFonts w:ascii="Arial" w:hAnsi="Arial" w:cs="Arial"/>
          <w:b/>
          <w:sz w:val="24"/>
          <w:szCs w:val="24"/>
          <w:lang w:val="fr-CI"/>
        </w:rPr>
        <w:t>:</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6628F0">
      <w:pPr>
        <w:numPr>
          <w:ilvl w:val="0"/>
          <w:numId w:val="25"/>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Renforcer l’alignement sur le FTYIP de l’Agenda 2063 :</w:t>
      </w:r>
    </w:p>
    <w:p w:rsidR="006628F0" w:rsidRDefault="006628F0" w:rsidP="006628F0">
      <w:pPr>
        <w:spacing w:after="0" w:line="240" w:lineRule="auto"/>
        <w:ind w:left="1440"/>
        <w:contextualSpacing/>
        <w:jc w:val="both"/>
        <w:rPr>
          <w:rFonts w:ascii="Arial" w:hAnsi="Arial" w:cs="Arial"/>
          <w:i/>
          <w:sz w:val="24"/>
          <w:szCs w:val="24"/>
          <w:lang w:val="fr-CI"/>
        </w:rPr>
      </w:pPr>
    </w:p>
    <w:p w:rsidR="007552BE" w:rsidRPr="004366FD" w:rsidRDefault="006628F0" w:rsidP="006628F0">
      <w:pPr>
        <w:numPr>
          <w:ilvl w:val="1"/>
          <w:numId w:val="25"/>
        </w:numPr>
        <w:spacing w:after="0" w:line="240" w:lineRule="auto"/>
        <w:ind w:left="1843" w:hanging="567"/>
        <w:contextualSpacing/>
        <w:jc w:val="both"/>
        <w:rPr>
          <w:rFonts w:ascii="Arial" w:hAnsi="Arial" w:cs="Arial"/>
          <w:i/>
          <w:sz w:val="24"/>
          <w:szCs w:val="24"/>
          <w:lang w:val="fr-CI"/>
        </w:rPr>
      </w:pPr>
      <w:r>
        <w:rPr>
          <w:rFonts w:ascii="Arial" w:hAnsi="Arial" w:cs="Arial"/>
          <w:i/>
          <w:sz w:val="24"/>
          <w:szCs w:val="24"/>
          <w:lang w:val="fr-CI"/>
        </w:rPr>
        <w:t>l</w:t>
      </w:r>
      <w:r w:rsidR="007552BE" w:rsidRPr="004366FD">
        <w:rPr>
          <w:rFonts w:ascii="Arial" w:hAnsi="Arial" w:cs="Arial"/>
          <w:i/>
          <w:sz w:val="24"/>
          <w:szCs w:val="24"/>
          <w:lang w:val="fr-CI"/>
        </w:rPr>
        <w:t>e nouveau plan de la Commission devrait être désigné comme étant un Plan à moyen terme (PMT). Ceci est justifié par le fait que les orientations stratégiques des plans précédents sont déjà fournies par l’Agenda 2063 et le premier Plan décennal de mise en œuvre ;</w:t>
      </w:r>
    </w:p>
    <w:p w:rsidR="006628F0" w:rsidRDefault="006628F0" w:rsidP="006628F0">
      <w:pPr>
        <w:spacing w:after="0" w:line="240" w:lineRule="auto"/>
        <w:ind w:left="1843"/>
        <w:contextualSpacing/>
        <w:jc w:val="both"/>
        <w:rPr>
          <w:rFonts w:ascii="Arial" w:hAnsi="Arial" w:cs="Arial"/>
          <w:i/>
          <w:sz w:val="24"/>
          <w:szCs w:val="24"/>
          <w:lang w:val="fr-CI"/>
        </w:rPr>
      </w:pPr>
    </w:p>
    <w:p w:rsidR="007552BE" w:rsidRPr="004366FD" w:rsidRDefault="006628F0" w:rsidP="006628F0">
      <w:pPr>
        <w:numPr>
          <w:ilvl w:val="1"/>
          <w:numId w:val="25"/>
        </w:numPr>
        <w:spacing w:after="0" w:line="240" w:lineRule="auto"/>
        <w:ind w:left="1843" w:hanging="567"/>
        <w:contextualSpacing/>
        <w:jc w:val="both"/>
        <w:rPr>
          <w:rFonts w:ascii="Arial" w:hAnsi="Arial" w:cs="Arial"/>
          <w:i/>
          <w:sz w:val="24"/>
          <w:szCs w:val="24"/>
          <w:lang w:val="fr-CI"/>
        </w:rPr>
      </w:pPr>
      <w:r>
        <w:rPr>
          <w:rFonts w:ascii="Arial" w:hAnsi="Arial" w:cs="Arial"/>
          <w:i/>
          <w:sz w:val="24"/>
          <w:szCs w:val="24"/>
          <w:lang w:val="fr-CI"/>
        </w:rPr>
        <w:t>u</w:t>
      </w:r>
      <w:r w:rsidR="007552BE" w:rsidRPr="004366FD">
        <w:rPr>
          <w:rFonts w:ascii="Arial" w:hAnsi="Arial" w:cs="Arial"/>
          <w:i/>
          <w:sz w:val="24"/>
          <w:szCs w:val="24"/>
          <w:lang w:val="fr-CI"/>
        </w:rPr>
        <w:t>n cycle de planification quinquennal synchronisé avec les cycles de planification des plans décennaux de mise en œuvre de l’Agenda 2063 devrait être adopté. Il est donc proposé que le cycle du nouveau PMT de la Commissio</w:t>
      </w:r>
      <w:r>
        <w:rPr>
          <w:rFonts w:ascii="Arial" w:hAnsi="Arial" w:cs="Arial"/>
          <w:i/>
          <w:sz w:val="24"/>
          <w:szCs w:val="24"/>
          <w:lang w:val="fr-CI"/>
        </w:rPr>
        <w:t>n concerne la période 2019-2023 ;</w:t>
      </w:r>
    </w:p>
    <w:p w:rsidR="006628F0" w:rsidRDefault="006628F0" w:rsidP="006628F0">
      <w:pPr>
        <w:spacing w:after="0" w:line="240" w:lineRule="auto"/>
        <w:ind w:left="1843"/>
        <w:contextualSpacing/>
        <w:jc w:val="both"/>
        <w:rPr>
          <w:rFonts w:ascii="Arial" w:hAnsi="Arial" w:cs="Arial"/>
          <w:i/>
          <w:sz w:val="24"/>
          <w:szCs w:val="24"/>
          <w:lang w:val="fr-CI"/>
        </w:rPr>
      </w:pPr>
    </w:p>
    <w:p w:rsidR="007552BE" w:rsidRPr="004366FD" w:rsidRDefault="006628F0" w:rsidP="006628F0">
      <w:pPr>
        <w:numPr>
          <w:ilvl w:val="1"/>
          <w:numId w:val="25"/>
        </w:numPr>
        <w:spacing w:after="0" w:line="240" w:lineRule="auto"/>
        <w:ind w:left="1843" w:hanging="567"/>
        <w:contextualSpacing/>
        <w:jc w:val="both"/>
        <w:rPr>
          <w:rFonts w:ascii="Arial" w:hAnsi="Arial" w:cs="Arial"/>
          <w:i/>
          <w:sz w:val="24"/>
          <w:szCs w:val="24"/>
          <w:lang w:val="fr-CI"/>
        </w:rPr>
      </w:pPr>
      <w:r>
        <w:rPr>
          <w:rFonts w:ascii="Arial" w:hAnsi="Arial" w:cs="Arial"/>
          <w:i/>
          <w:sz w:val="24"/>
          <w:szCs w:val="24"/>
          <w:lang w:val="fr-CI"/>
        </w:rPr>
        <w:t>l</w:t>
      </w:r>
      <w:r w:rsidR="007552BE" w:rsidRPr="004366FD">
        <w:rPr>
          <w:rFonts w:ascii="Arial" w:hAnsi="Arial" w:cs="Arial"/>
          <w:i/>
          <w:sz w:val="24"/>
          <w:szCs w:val="24"/>
          <w:lang w:val="fr-CI"/>
        </w:rPr>
        <w:t>’année 2018 doit être considérée comme une année de transition au cours de laquelle toutes les activités de lancement du plan seront mises en œuvre, y compris l’évaluation à mi-parcours du FTYIP.</w:t>
      </w:r>
    </w:p>
    <w:p w:rsidR="006628F0" w:rsidRDefault="006628F0" w:rsidP="006628F0">
      <w:pPr>
        <w:spacing w:after="0" w:line="240" w:lineRule="auto"/>
        <w:ind w:left="720"/>
        <w:contextualSpacing/>
        <w:jc w:val="both"/>
        <w:rPr>
          <w:rFonts w:ascii="Arial" w:hAnsi="Arial" w:cs="Arial"/>
          <w:i/>
          <w:sz w:val="24"/>
          <w:szCs w:val="24"/>
          <w:lang w:val="fr-CI"/>
        </w:rPr>
      </w:pPr>
    </w:p>
    <w:p w:rsidR="007552BE" w:rsidRPr="004366FD" w:rsidRDefault="007552BE" w:rsidP="006628F0">
      <w:pPr>
        <w:numPr>
          <w:ilvl w:val="0"/>
          <w:numId w:val="25"/>
        </w:numPr>
        <w:spacing w:after="0" w:line="240" w:lineRule="auto"/>
        <w:ind w:left="1276" w:hanging="567"/>
        <w:contextualSpacing/>
        <w:jc w:val="both"/>
        <w:rPr>
          <w:rFonts w:ascii="Arial" w:hAnsi="Arial" w:cs="Arial"/>
          <w:i/>
          <w:sz w:val="24"/>
          <w:szCs w:val="24"/>
          <w:lang w:val="fr-CI"/>
        </w:rPr>
      </w:pPr>
      <w:r w:rsidRPr="004366FD">
        <w:rPr>
          <w:rFonts w:ascii="Arial" w:hAnsi="Arial" w:cs="Arial"/>
          <w:i/>
          <w:sz w:val="24"/>
          <w:szCs w:val="24"/>
          <w:lang w:val="fr-CI"/>
        </w:rPr>
        <w:t>La Commission préparera et soumettra un projet de plan à moyen terme tel que décrit ci-dessus pour par les organes délibérants de l’UA pour adoption en juin 2017</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26525D">
      <w:pPr>
        <w:pStyle w:val="ListParagraph"/>
        <w:numPr>
          <w:ilvl w:val="0"/>
          <w:numId w:val="29"/>
        </w:numPr>
        <w:spacing w:after="0" w:line="240" w:lineRule="auto"/>
        <w:ind w:hanging="720"/>
        <w:rPr>
          <w:rFonts w:ascii="Arial" w:hAnsi="Arial" w:cs="Arial"/>
          <w:b/>
          <w:sz w:val="24"/>
          <w:szCs w:val="24"/>
          <w:lang w:val="fr-CI"/>
        </w:rPr>
      </w:pPr>
      <w:r w:rsidRPr="004366FD">
        <w:rPr>
          <w:rFonts w:ascii="Arial" w:eastAsia="Calibri" w:hAnsi="Arial" w:cs="Arial"/>
          <w:b/>
          <w:bCs/>
          <w:sz w:val="24"/>
          <w:szCs w:val="24"/>
          <w:lang w:val="fr-CI"/>
        </w:rPr>
        <w:t>Conclusion</w:t>
      </w:r>
    </w:p>
    <w:p w:rsidR="007552BE" w:rsidRPr="004366FD" w:rsidRDefault="007552BE" w:rsidP="00AE2F12">
      <w:pPr>
        <w:spacing w:after="0" w:line="240" w:lineRule="auto"/>
        <w:contextualSpacing/>
        <w:jc w:val="both"/>
        <w:rPr>
          <w:rFonts w:ascii="Arial" w:hAnsi="Arial" w:cs="Arial"/>
          <w:sz w:val="24"/>
          <w:szCs w:val="24"/>
          <w:lang w:val="fr-CI"/>
        </w:rPr>
      </w:pPr>
    </w:p>
    <w:p w:rsidR="007552BE"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 xml:space="preserve">La mise en œuvre de l’Agenda 2063 gagne du terrain aux niveaux national, régional et continental. Il est nécessaire de consolider les acquis et de veiller à ce que les États </w:t>
      </w:r>
      <w:r w:rsidRPr="004366FD">
        <w:rPr>
          <w:rFonts w:ascii="Arial" w:hAnsi="Arial" w:cs="Arial"/>
          <w:sz w:val="24"/>
          <w:szCs w:val="24"/>
          <w:lang w:val="fr-CI"/>
        </w:rPr>
        <w:lastRenderedPageBreak/>
        <w:t>membres, par l’adoption d’un cadre unique intégré pour la mise en œuvre, le suivi et l’établissement de rapports, ne soient pas contraints par des initiatives parallèles découlant d’initiatives distinctes et disjointes et non coordonnées visant à appuyer l’Agenda 2063 et les ODD. Il importe que tous les partenaires africains soient conscients de cet état de fait et agissent en conséquence, en particulier les partenaires du système des Nations Unies présents au niveau des pays.</w:t>
      </w:r>
    </w:p>
    <w:p w:rsidR="007552BE" w:rsidRPr="004366FD" w:rsidRDefault="007552BE" w:rsidP="00AE2F12">
      <w:pPr>
        <w:spacing w:after="0" w:line="240" w:lineRule="auto"/>
        <w:contextualSpacing/>
        <w:jc w:val="both"/>
        <w:rPr>
          <w:rFonts w:ascii="Arial" w:hAnsi="Arial" w:cs="Arial"/>
          <w:sz w:val="24"/>
          <w:szCs w:val="24"/>
          <w:lang w:val="fr-CI"/>
        </w:rPr>
      </w:pPr>
    </w:p>
    <w:p w:rsidR="00BC1407" w:rsidRPr="004366FD" w:rsidRDefault="007552BE" w:rsidP="00AE2F12">
      <w:pPr>
        <w:spacing w:after="0" w:line="240" w:lineRule="auto"/>
        <w:contextualSpacing/>
        <w:jc w:val="both"/>
        <w:rPr>
          <w:rFonts w:ascii="Arial" w:hAnsi="Arial" w:cs="Arial"/>
          <w:sz w:val="24"/>
          <w:szCs w:val="24"/>
          <w:lang w:val="fr-CI"/>
        </w:rPr>
      </w:pPr>
      <w:r w:rsidRPr="004366FD">
        <w:rPr>
          <w:rFonts w:ascii="Arial" w:hAnsi="Arial" w:cs="Arial"/>
          <w:sz w:val="24"/>
          <w:szCs w:val="24"/>
          <w:lang w:val="fr-CI"/>
        </w:rPr>
        <w:t>Enfin, il est tout aussi important de mentionner que le processus de réforme visant à réorganiser l’Union adopté lors du 27</w:t>
      </w:r>
      <w:r w:rsidRPr="004366FD">
        <w:rPr>
          <w:rFonts w:ascii="Arial" w:hAnsi="Arial" w:cs="Arial"/>
          <w:sz w:val="24"/>
          <w:szCs w:val="24"/>
          <w:vertAlign w:val="superscript"/>
          <w:lang w:val="fr-CI"/>
        </w:rPr>
        <w:t>e</w:t>
      </w:r>
      <w:r w:rsidRPr="004366FD">
        <w:rPr>
          <w:rFonts w:ascii="Arial" w:hAnsi="Arial" w:cs="Arial"/>
          <w:sz w:val="24"/>
          <w:szCs w:val="24"/>
          <w:lang w:val="fr-CI"/>
        </w:rPr>
        <w:t xml:space="preserve"> Sommet de Kigali (Rwanda) tenu en juillet 2016 donnera un élan significatif à la mise en œuvre de l’Agenda 2063 qui permettra de réaliser la vision de l’</w:t>
      </w:r>
      <w:r w:rsidR="004366FD" w:rsidRPr="004366FD">
        <w:rPr>
          <w:rFonts w:ascii="Arial" w:hAnsi="Arial" w:cs="Arial"/>
          <w:sz w:val="24"/>
          <w:szCs w:val="24"/>
          <w:lang w:val="fr-CI"/>
        </w:rPr>
        <w:t>UA</w:t>
      </w:r>
      <w:r w:rsidR="00BC1407" w:rsidRPr="004366FD">
        <w:rPr>
          <w:rFonts w:ascii="Arial" w:hAnsi="Arial" w:cs="Arial"/>
          <w:bCs/>
          <w:sz w:val="24"/>
          <w:szCs w:val="24"/>
          <w:lang w:val="fr-CI"/>
        </w:rPr>
        <w:t xml:space="preserve">. </w:t>
      </w:r>
    </w:p>
    <w:p w:rsidR="00BC1407" w:rsidRPr="004366FD" w:rsidRDefault="00BC1407" w:rsidP="00AE2F12">
      <w:pPr>
        <w:spacing w:after="0" w:line="240" w:lineRule="auto"/>
        <w:contextualSpacing/>
        <w:jc w:val="both"/>
        <w:rPr>
          <w:rFonts w:ascii="Arial" w:hAnsi="Arial" w:cs="Arial"/>
          <w:bCs/>
          <w:sz w:val="24"/>
          <w:szCs w:val="24"/>
          <w:lang w:val="fr-CI"/>
        </w:rPr>
      </w:pPr>
    </w:p>
    <w:p w:rsidR="00CE063F" w:rsidRPr="004366FD" w:rsidRDefault="00CE063F" w:rsidP="00AE2F12">
      <w:pPr>
        <w:spacing w:after="0" w:line="240" w:lineRule="auto"/>
        <w:contextualSpacing/>
        <w:jc w:val="both"/>
        <w:rPr>
          <w:rFonts w:ascii="Arial" w:hAnsi="Arial" w:cs="Arial"/>
          <w:bCs/>
          <w:sz w:val="24"/>
          <w:szCs w:val="24"/>
          <w:lang w:val="fr-CI"/>
        </w:rPr>
      </w:pPr>
    </w:p>
    <w:p w:rsidR="00CE063F" w:rsidRPr="004366FD" w:rsidRDefault="00CE063F" w:rsidP="00AE2F12">
      <w:pPr>
        <w:spacing w:after="0" w:line="240" w:lineRule="auto"/>
        <w:contextualSpacing/>
        <w:jc w:val="both"/>
        <w:rPr>
          <w:rFonts w:ascii="Arial" w:hAnsi="Arial" w:cs="Arial"/>
          <w:bCs/>
          <w:sz w:val="24"/>
          <w:szCs w:val="24"/>
          <w:lang w:val="fr-CI"/>
        </w:rPr>
        <w:sectPr w:rsidR="00CE063F" w:rsidRPr="004366FD" w:rsidSect="004254DD">
          <w:footerReference w:type="default" r:id="rId12"/>
          <w:pgSz w:w="11906" w:h="16838"/>
          <w:pgMar w:top="1440" w:right="1440" w:bottom="1440" w:left="1440" w:header="720" w:footer="720" w:gutter="0"/>
          <w:cols w:space="720"/>
          <w:docGrid w:linePitch="360"/>
        </w:sectPr>
      </w:pPr>
      <w:r w:rsidRPr="004366FD">
        <w:rPr>
          <w:rFonts w:ascii="Arial" w:hAnsi="Arial" w:cs="Arial"/>
          <w:bCs/>
          <w:sz w:val="24"/>
          <w:szCs w:val="24"/>
          <w:lang w:val="fr-CI"/>
        </w:rPr>
        <w:t>.</w:t>
      </w:r>
    </w:p>
    <w:p w:rsidR="00CE063F" w:rsidRPr="004366FD" w:rsidRDefault="00CE063F" w:rsidP="00AE2F12">
      <w:pPr>
        <w:pStyle w:val="BodyText"/>
        <w:ind w:left="-450" w:right="-288" w:firstLine="1170"/>
        <w:contextualSpacing/>
        <w:rPr>
          <w:rFonts w:ascii="Arial" w:hAnsi="Arial" w:cs="Arial"/>
          <w:b/>
          <w:lang w:val="fr-CI"/>
        </w:rPr>
      </w:pPr>
      <w:r w:rsidRPr="004366FD">
        <w:rPr>
          <w:rFonts w:ascii="Arial" w:hAnsi="Arial" w:cs="Arial"/>
          <w:b/>
          <w:lang w:val="fr-CI"/>
        </w:rPr>
        <w:lastRenderedPageBreak/>
        <w:t>Annexe 1</w:t>
      </w:r>
      <w:r w:rsidR="00C81CAD" w:rsidRPr="004366FD">
        <w:rPr>
          <w:rFonts w:ascii="Arial" w:hAnsi="Arial" w:cs="Arial"/>
          <w:b/>
          <w:lang w:val="fr-CI"/>
        </w:rPr>
        <w:t xml:space="preserve"> </w:t>
      </w:r>
      <w:r w:rsidRPr="004366FD">
        <w:rPr>
          <w:rFonts w:ascii="Arial" w:hAnsi="Arial" w:cs="Arial"/>
          <w:b/>
          <w:lang w:val="fr-CI"/>
        </w:rPr>
        <w:t xml:space="preserve">: Rapport </w:t>
      </w:r>
      <w:r w:rsidR="004366FD" w:rsidRPr="004366FD">
        <w:rPr>
          <w:rFonts w:ascii="Arial" w:hAnsi="Arial" w:cs="Arial"/>
          <w:b/>
          <w:lang w:val="fr-CI"/>
        </w:rPr>
        <w:t>sur l</w:t>
      </w:r>
      <w:r w:rsidR="00F174E1" w:rsidRPr="004366FD">
        <w:rPr>
          <w:rFonts w:ascii="Arial" w:hAnsi="Arial" w:cs="Arial"/>
          <w:b/>
          <w:lang w:val="fr-CI"/>
        </w:rPr>
        <w:t>’</w:t>
      </w:r>
      <w:r w:rsidRPr="004366FD">
        <w:rPr>
          <w:rFonts w:ascii="Arial" w:hAnsi="Arial" w:cs="Arial"/>
          <w:b/>
          <w:lang w:val="fr-CI"/>
        </w:rPr>
        <w:t>éta</w:t>
      </w:r>
      <w:r w:rsidR="00C81CAD" w:rsidRPr="004366FD">
        <w:rPr>
          <w:rFonts w:ascii="Arial" w:hAnsi="Arial" w:cs="Arial"/>
          <w:b/>
          <w:lang w:val="fr-CI"/>
        </w:rPr>
        <w:t>t d’avancement des</w:t>
      </w:r>
      <w:r w:rsidRPr="004366FD">
        <w:rPr>
          <w:rFonts w:ascii="Arial" w:hAnsi="Arial" w:cs="Arial"/>
          <w:b/>
          <w:lang w:val="fr-CI"/>
        </w:rPr>
        <w:t xml:space="preserve"> projets phares</w:t>
      </w:r>
    </w:p>
    <w:p w:rsidR="00C81CAD" w:rsidRPr="004366FD" w:rsidRDefault="00C81CAD" w:rsidP="00AE2F12">
      <w:pPr>
        <w:spacing w:after="0" w:line="240" w:lineRule="auto"/>
        <w:contextualSpacing/>
        <w:jc w:val="both"/>
        <w:rPr>
          <w:rFonts w:ascii="Arial" w:hAnsi="Arial" w:cs="Arial"/>
          <w:sz w:val="24"/>
          <w:szCs w:val="24"/>
          <w:lang w:val="fr-CI"/>
        </w:rPr>
      </w:pPr>
    </w:p>
    <w:tbl>
      <w:tblPr>
        <w:tblStyle w:val="TableGrid"/>
        <w:tblW w:w="0" w:type="auto"/>
        <w:tblLook w:val="04A0" w:firstRow="1" w:lastRow="0" w:firstColumn="1" w:lastColumn="0" w:noHBand="0" w:noVBand="1"/>
      </w:tblPr>
      <w:tblGrid>
        <w:gridCol w:w="3011"/>
        <w:gridCol w:w="2369"/>
        <w:gridCol w:w="2555"/>
        <w:gridCol w:w="2509"/>
        <w:gridCol w:w="2506"/>
      </w:tblGrid>
      <w:tr w:rsidR="00E977F6" w:rsidRPr="0026525D" w:rsidTr="0026525D">
        <w:tc>
          <w:tcPr>
            <w:tcW w:w="3114" w:type="dxa"/>
            <w:vAlign w:val="center"/>
          </w:tcPr>
          <w:p w:rsidR="00E977F6" w:rsidRPr="0026525D" w:rsidRDefault="00E977F6" w:rsidP="0026525D">
            <w:pPr>
              <w:contextualSpacing/>
              <w:jc w:val="center"/>
              <w:rPr>
                <w:rFonts w:ascii="Arial" w:hAnsi="Arial" w:cs="Arial"/>
                <w:b/>
                <w:szCs w:val="24"/>
                <w:lang w:val="fr-CI"/>
              </w:rPr>
            </w:pPr>
            <w:r w:rsidRPr="0026525D">
              <w:rPr>
                <w:rFonts w:ascii="Arial" w:hAnsi="Arial" w:cs="Arial"/>
                <w:b/>
                <w:szCs w:val="24"/>
                <w:lang w:val="fr-CI"/>
              </w:rPr>
              <w:t>Projet phare</w:t>
            </w:r>
          </w:p>
        </w:tc>
        <w:tc>
          <w:tcPr>
            <w:tcW w:w="2066" w:type="dxa"/>
            <w:vAlign w:val="center"/>
          </w:tcPr>
          <w:p w:rsidR="00E977F6" w:rsidRPr="0026525D" w:rsidRDefault="00E977F6" w:rsidP="0026525D">
            <w:pPr>
              <w:contextualSpacing/>
              <w:jc w:val="center"/>
              <w:rPr>
                <w:rFonts w:ascii="Arial" w:hAnsi="Arial" w:cs="Arial"/>
                <w:b/>
                <w:szCs w:val="24"/>
                <w:lang w:val="fr-CI"/>
              </w:rPr>
            </w:pPr>
            <w:r w:rsidRPr="0026525D">
              <w:rPr>
                <w:rFonts w:ascii="Arial" w:hAnsi="Arial" w:cs="Arial"/>
                <w:b/>
                <w:szCs w:val="24"/>
                <w:lang w:val="fr-CI"/>
              </w:rPr>
              <w:t>Département de coordination</w:t>
            </w:r>
          </w:p>
        </w:tc>
        <w:tc>
          <w:tcPr>
            <w:tcW w:w="2590" w:type="dxa"/>
            <w:vAlign w:val="center"/>
          </w:tcPr>
          <w:p w:rsidR="00E977F6" w:rsidRPr="0026525D" w:rsidRDefault="00E977F6" w:rsidP="0026525D">
            <w:pPr>
              <w:contextualSpacing/>
              <w:jc w:val="center"/>
              <w:rPr>
                <w:rFonts w:ascii="Arial" w:hAnsi="Arial" w:cs="Arial"/>
                <w:b/>
                <w:szCs w:val="24"/>
                <w:lang w:val="fr-CI"/>
              </w:rPr>
            </w:pPr>
            <w:r w:rsidRPr="0026525D">
              <w:rPr>
                <w:rFonts w:ascii="Arial" w:hAnsi="Arial" w:cs="Arial"/>
                <w:b/>
                <w:szCs w:val="24"/>
                <w:lang w:val="fr-CI"/>
              </w:rPr>
              <w:t>Progrès</w:t>
            </w:r>
          </w:p>
        </w:tc>
        <w:tc>
          <w:tcPr>
            <w:tcW w:w="2590" w:type="dxa"/>
            <w:vAlign w:val="center"/>
          </w:tcPr>
          <w:p w:rsidR="00E977F6" w:rsidRPr="0026525D" w:rsidRDefault="00E977F6" w:rsidP="0026525D">
            <w:pPr>
              <w:contextualSpacing/>
              <w:jc w:val="center"/>
              <w:rPr>
                <w:rFonts w:ascii="Arial" w:hAnsi="Arial" w:cs="Arial"/>
                <w:b/>
                <w:szCs w:val="24"/>
                <w:lang w:val="fr-CI"/>
              </w:rPr>
            </w:pPr>
            <w:r w:rsidRPr="0026525D">
              <w:rPr>
                <w:rFonts w:ascii="Arial" w:hAnsi="Arial" w:cs="Arial"/>
                <w:b/>
                <w:szCs w:val="24"/>
                <w:lang w:val="fr-CI"/>
              </w:rPr>
              <w:t>Problèmes et défis</w:t>
            </w:r>
          </w:p>
        </w:tc>
        <w:tc>
          <w:tcPr>
            <w:tcW w:w="2590" w:type="dxa"/>
            <w:vAlign w:val="center"/>
          </w:tcPr>
          <w:p w:rsidR="00E977F6" w:rsidRPr="0026525D" w:rsidRDefault="00E977F6" w:rsidP="0026525D">
            <w:pPr>
              <w:contextualSpacing/>
              <w:jc w:val="center"/>
              <w:rPr>
                <w:rFonts w:ascii="Arial" w:hAnsi="Arial" w:cs="Arial"/>
                <w:b/>
                <w:szCs w:val="24"/>
                <w:lang w:val="fr-CI"/>
              </w:rPr>
            </w:pPr>
            <w:r w:rsidRPr="0026525D">
              <w:rPr>
                <w:rFonts w:ascii="Arial" w:hAnsi="Arial" w:cs="Arial"/>
                <w:b/>
                <w:szCs w:val="24"/>
                <w:lang w:val="fr-CI"/>
              </w:rPr>
              <w:t>Perspectives</w:t>
            </w:r>
          </w:p>
        </w:tc>
      </w:tr>
      <w:tr w:rsidR="00E977F6" w:rsidRPr="00F05C47" w:rsidTr="00175AF3">
        <w:tc>
          <w:tcPr>
            <w:tcW w:w="3114" w:type="dxa"/>
          </w:tcPr>
          <w:p w:rsidR="00E977F6" w:rsidRPr="0026525D" w:rsidRDefault="00175AF3" w:rsidP="00AE2F12">
            <w:pPr>
              <w:contextualSpacing/>
              <w:jc w:val="both"/>
              <w:rPr>
                <w:rFonts w:ascii="Arial" w:hAnsi="Arial" w:cs="Arial"/>
                <w:szCs w:val="24"/>
                <w:lang w:val="fr-CI"/>
              </w:rPr>
            </w:pPr>
            <w:r w:rsidRPr="0026525D">
              <w:rPr>
                <w:rFonts w:ascii="Arial" w:hAnsi="Arial" w:cs="Arial"/>
                <w:szCs w:val="24"/>
                <w:lang w:val="fr-CI"/>
              </w:rPr>
              <w:t>1. Institutions financières et monétaires continentales</w:t>
            </w:r>
          </w:p>
        </w:tc>
        <w:tc>
          <w:tcPr>
            <w:tcW w:w="2066" w:type="dxa"/>
          </w:tcPr>
          <w:p w:rsidR="00E977F6" w:rsidRPr="0026525D" w:rsidRDefault="00175AF3" w:rsidP="00AE2F12">
            <w:pPr>
              <w:contextualSpacing/>
              <w:jc w:val="both"/>
              <w:rPr>
                <w:rFonts w:ascii="Arial" w:hAnsi="Arial" w:cs="Arial"/>
                <w:szCs w:val="24"/>
                <w:lang w:val="fr-CI"/>
              </w:rPr>
            </w:pPr>
            <w:r w:rsidRPr="0026525D">
              <w:rPr>
                <w:rFonts w:ascii="Arial" w:hAnsi="Arial" w:cs="Arial"/>
                <w:szCs w:val="24"/>
                <w:lang w:val="fr-CI"/>
              </w:rPr>
              <w:t>Département des affaires économiques</w:t>
            </w:r>
          </w:p>
        </w:tc>
        <w:tc>
          <w:tcPr>
            <w:tcW w:w="2590" w:type="dxa"/>
          </w:tcPr>
          <w:p w:rsidR="00E977F6" w:rsidRPr="0026525D" w:rsidRDefault="00175AF3" w:rsidP="00AE2F12">
            <w:pPr>
              <w:contextualSpacing/>
              <w:jc w:val="both"/>
              <w:rPr>
                <w:rFonts w:ascii="Arial" w:hAnsi="Arial" w:cs="Arial"/>
                <w:szCs w:val="24"/>
                <w:lang w:val="fr-CI"/>
              </w:rPr>
            </w:pPr>
            <w:r w:rsidRPr="0026525D">
              <w:rPr>
                <w:rFonts w:ascii="Arial" w:hAnsi="Arial" w:cs="Arial"/>
                <w:b/>
                <w:szCs w:val="24"/>
                <w:lang w:val="fr-CI"/>
              </w:rPr>
              <w:t>Banque centrale africaine</w:t>
            </w:r>
            <w:r w:rsidRPr="0026525D">
              <w:rPr>
                <w:rFonts w:ascii="Arial" w:hAnsi="Arial" w:cs="Arial"/>
                <w:szCs w:val="24"/>
                <w:lang w:val="fr-CI"/>
              </w:rPr>
              <w:t xml:space="preserve"> </w:t>
            </w:r>
            <w:r w:rsidR="00880358" w:rsidRPr="0026525D">
              <w:rPr>
                <w:rFonts w:ascii="Arial" w:hAnsi="Arial" w:cs="Arial"/>
                <w:szCs w:val="24"/>
                <w:lang w:val="fr-CI"/>
              </w:rPr>
              <w:t>–</w:t>
            </w:r>
            <w:r w:rsidRPr="0026525D">
              <w:rPr>
                <w:rFonts w:ascii="Arial" w:hAnsi="Arial" w:cs="Arial"/>
                <w:szCs w:val="24"/>
                <w:lang w:val="fr-CI"/>
              </w:rPr>
              <w:t xml:space="preserve"> Le calendrier convenu dans le cadre de l’Agenda 2063 pour la création de la BCA se situe entre 2028 et 2034. Les préparatifs de la BCA se feront par l’intermédiaire de l’Institut monétaire africain, qui devrait être créé d’ici 2018. La BCA s’appuiera sur la Stratégie conjointe de la Commission de l’Union africaine</w:t>
            </w:r>
            <w:r w:rsidR="00331E1D" w:rsidRPr="0026525D">
              <w:rPr>
                <w:rFonts w:ascii="Arial" w:hAnsi="Arial" w:cs="Arial"/>
                <w:szCs w:val="24"/>
                <w:lang w:val="fr-CI"/>
              </w:rPr>
              <w:t>/</w:t>
            </w:r>
            <w:r w:rsidRPr="0026525D">
              <w:rPr>
                <w:rFonts w:ascii="Arial" w:hAnsi="Arial" w:cs="Arial"/>
                <w:szCs w:val="24"/>
                <w:lang w:val="fr-CI"/>
              </w:rPr>
              <w:t>Association des banques centrales africaines (ABCA) qui a été adoptée par l’Assemblée de l’ABCA en août 2015.</w:t>
            </w:r>
          </w:p>
          <w:p w:rsidR="00880358" w:rsidRPr="0026525D" w:rsidRDefault="00880358" w:rsidP="00AE2F12">
            <w:pPr>
              <w:contextualSpacing/>
              <w:jc w:val="both"/>
              <w:rPr>
                <w:rFonts w:ascii="Arial" w:hAnsi="Arial" w:cs="Arial"/>
                <w:szCs w:val="24"/>
                <w:lang w:val="fr-CI"/>
              </w:rPr>
            </w:pPr>
          </w:p>
          <w:p w:rsidR="00970B8C" w:rsidRPr="0026525D" w:rsidRDefault="00970B8C" w:rsidP="00AE2F12">
            <w:pPr>
              <w:contextualSpacing/>
              <w:jc w:val="both"/>
              <w:rPr>
                <w:rFonts w:ascii="Arial" w:hAnsi="Arial" w:cs="Arial"/>
                <w:szCs w:val="24"/>
                <w:lang w:val="fr-CI"/>
              </w:rPr>
            </w:pPr>
            <w:r w:rsidRPr="0026525D">
              <w:rPr>
                <w:rFonts w:ascii="Arial" w:hAnsi="Arial" w:cs="Arial"/>
                <w:b/>
                <w:szCs w:val="24"/>
                <w:lang w:val="fr-CI"/>
              </w:rPr>
              <w:t>Banque africaine d’investissement</w:t>
            </w:r>
            <w:r w:rsidRPr="0026525D">
              <w:rPr>
                <w:rFonts w:ascii="Arial" w:hAnsi="Arial" w:cs="Arial"/>
                <w:szCs w:val="24"/>
                <w:lang w:val="fr-CI"/>
              </w:rPr>
              <w:t xml:space="preserve"> – La Conférence de l’UA a adopté les Statuts de la BAI lors de son Sommet de février 2009. Au 1</w:t>
            </w:r>
            <w:r w:rsidRPr="0026525D">
              <w:rPr>
                <w:rFonts w:ascii="Arial" w:hAnsi="Arial" w:cs="Arial"/>
                <w:szCs w:val="24"/>
                <w:vertAlign w:val="superscript"/>
                <w:lang w:val="fr-CI"/>
              </w:rPr>
              <w:t>er</w:t>
            </w:r>
            <w:r w:rsidRPr="0026525D">
              <w:rPr>
                <w:rFonts w:ascii="Arial" w:hAnsi="Arial" w:cs="Arial"/>
                <w:szCs w:val="24"/>
                <w:lang w:val="fr-CI"/>
              </w:rPr>
              <w:t xml:space="preserve"> avril 2016, 22 États membres avaient signé le Protocole et trois </w:t>
            </w:r>
            <w:r w:rsidRPr="0026525D">
              <w:rPr>
                <w:rFonts w:ascii="Arial" w:hAnsi="Arial" w:cs="Arial"/>
                <w:szCs w:val="24"/>
                <w:lang w:val="fr-CI"/>
              </w:rPr>
              <w:lastRenderedPageBreak/>
              <w:t xml:space="preserve">l’avaient ratifié. Il s’agit du Bénin, du Congo et de la Libye. Le calendrier convenu dans le cadre de l’Agenda 2063 pour la mise en </w:t>
            </w:r>
            <w:r w:rsidR="004C7DDF" w:rsidRPr="0026525D">
              <w:rPr>
                <w:rFonts w:ascii="Arial" w:hAnsi="Arial" w:cs="Arial"/>
                <w:szCs w:val="24"/>
                <w:lang w:val="fr-CI"/>
              </w:rPr>
              <w:t>œuvre</w:t>
            </w:r>
            <w:r w:rsidRPr="0026525D">
              <w:rPr>
                <w:rFonts w:ascii="Arial" w:hAnsi="Arial" w:cs="Arial"/>
                <w:szCs w:val="24"/>
                <w:lang w:val="fr-CI"/>
              </w:rPr>
              <w:t xml:space="preserve"> effective </w:t>
            </w:r>
            <w:proofErr w:type="gramStart"/>
            <w:r w:rsidRPr="0026525D">
              <w:rPr>
                <w:rFonts w:ascii="Arial" w:hAnsi="Arial" w:cs="Arial"/>
                <w:szCs w:val="24"/>
                <w:lang w:val="fr-CI"/>
              </w:rPr>
              <w:t>de la</w:t>
            </w:r>
            <w:proofErr w:type="gramEnd"/>
            <w:r w:rsidRPr="0026525D">
              <w:rPr>
                <w:rFonts w:ascii="Arial" w:hAnsi="Arial" w:cs="Arial"/>
                <w:szCs w:val="24"/>
                <w:lang w:val="fr-CI"/>
              </w:rPr>
              <w:t xml:space="preserve"> BAI est 2025.</w:t>
            </w:r>
          </w:p>
          <w:p w:rsidR="00880358" w:rsidRPr="0026525D" w:rsidRDefault="00880358" w:rsidP="00AE2F12">
            <w:pPr>
              <w:contextualSpacing/>
              <w:jc w:val="both"/>
              <w:rPr>
                <w:rFonts w:ascii="Arial" w:hAnsi="Arial" w:cs="Arial"/>
                <w:szCs w:val="24"/>
                <w:lang w:val="fr-CI"/>
              </w:rPr>
            </w:pPr>
          </w:p>
          <w:p w:rsidR="004C7DDF" w:rsidRPr="0026525D" w:rsidRDefault="004C7DDF" w:rsidP="00AE2F12">
            <w:pPr>
              <w:contextualSpacing/>
              <w:jc w:val="both"/>
              <w:rPr>
                <w:rFonts w:ascii="Arial" w:hAnsi="Arial" w:cs="Arial"/>
                <w:szCs w:val="24"/>
                <w:lang w:val="fr-CI"/>
              </w:rPr>
            </w:pPr>
            <w:r w:rsidRPr="0026525D">
              <w:rPr>
                <w:rFonts w:ascii="Arial" w:hAnsi="Arial" w:cs="Arial"/>
                <w:b/>
                <w:szCs w:val="24"/>
                <w:lang w:val="fr-CI"/>
              </w:rPr>
              <w:t>Fonds monétaire africain</w:t>
            </w:r>
            <w:r w:rsidRPr="0026525D">
              <w:rPr>
                <w:rFonts w:ascii="Arial" w:hAnsi="Arial" w:cs="Arial"/>
                <w:szCs w:val="24"/>
                <w:lang w:val="fr-CI"/>
              </w:rPr>
              <w:t xml:space="preserve"> - La Conférence de l’UA a adopté le Protocole et les Statuts du FMA lors de son Sommet de juin 2014. Au 1</w:t>
            </w:r>
            <w:r w:rsidRPr="0026525D">
              <w:rPr>
                <w:rFonts w:ascii="Arial" w:hAnsi="Arial" w:cs="Arial"/>
                <w:szCs w:val="24"/>
                <w:vertAlign w:val="superscript"/>
                <w:lang w:val="fr-CI"/>
              </w:rPr>
              <w:t>er</w:t>
            </w:r>
            <w:r w:rsidRPr="0026525D">
              <w:rPr>
                <w:rFonts w:ascii="Arial" w:hAnsi="Arial" w:cs="Arial"/>
                <w:szCs w:val="24"/>
                <w:lang w:val="fr-CI"/>
              </w:rPr>
              <w:t xml:space="preserve"> avril 2016, sept États membres avaient signé le Protocole, à savoir le Bénin, le Tchad, le Congo, la Guinée-Bissau, la Mauritanie, la Sierra Leone et Sao Tomé-et-Principe, et aucun ne l’avait ratifié. Le calendrier convenu dans le cadre de l’Agenda 2063 pour la mise en œuvre effective du FMA est 2023.</w:t>
            </w:r>
          </w:p>
          <w:p w:rsidR="001908D3" w:rsidRPr="0026525D" w:rsidRDefault="001908D3" w:rsidP="00AE2F12">
            <w:pPr>
              <w:contextualSpacing/>
              <w:jc w:val="both"/>
              <w:rPr>
                <w:rFonts w:ascii="Arial" w:hAnsi="Arial" w:cs="Arial"/>
                <w:szCs w:val="24"/>
                <w:lang w:val="fr-CI"/>
              </w:rPr>
            </w:pPr>
          </w:p>
          <w:p w:rsidR="001908D3" w:rsidRPr="0026525D" w:rsidRDefault="00B7552D" w:rsidP="00AE2F12">
            <w:pPr>
              <w:contextualSpacing/>
              <w:jc w:val="both"/>
              <w:rPr>
                <w:rFonts w:ascii="Arial" w:hAnsi="Arial" w:cs="Arial"/>
                <w:szCs w:val="24"/>
                <w:lang w:val="fr-CI"/>
              </w:rPr>
            </w:pPr>
            <w:r w:rsidRPr="0026525D">
              <w:rPr>
                <w:rFonts w:ascii="Arial" w:hAnsi="Arial" w:cs="Arial"/>
                <w:b/>
                <w:szCs w:val="24"/>
                <w:lang w:val="fr-CI"/>
              </w:rPr>
              <w:t>Bourse panafricaine :</w:t>
            </w:r>
            <w:r w:rsidRPr="0026525D">
              <w:rPr>
                <w:rFonts w:ascii="Arial" w:hAnsi="Arial" w:cs="Arial"/>
                <w:szCs w:val="24"/>
                <w:lang w:val="fr-CI"/>
              </w:rPr>
              <w:t xml:space="preserve"> L’étude technique sur la faisabilité de la création d’une bourse panafricaine a été </w:t>
            </w:r>
            <w:r w:rsidRPr="0026525D">
              <w:rPr>
                <w:rFonts w:ascii="Arial" w:hAnsi="Arial" w:cs="Arial"/>
                <w:szCs w:val="24"/>
                <w:lang w:val="fr-CI"/>
              </w:rPr>
              <w:lastRenderedPageBreak/>
              <w:t xml:space="preserve">réalisée par un groupe de consultants indépendant. Les conclusions de l’étude ont été examinées par la Conférence des ministres de l’Économie et des Finances de l’UA qui s’est tenue en mars 2014 à Abuja (Nigeria). La Conférence est convenue de soumettre à nouveau l’étude aux États membres afin d’enregistrer leurs observations. </w:t>
            </w:r>
          </w:p>
        </w:tc>
        <w:tc>
          <w:tcPr>
            <w:tcW w:w="2590" w:type="dxa"/>
          </w:tcPr>
          <w:p w:rsidR="00E977F6" w:rsidRPr="0026525D" w:rsidRDefault="00B7552D" w:rsidP="00AE2F12">
            <w:pPr>
              <w:contextualSpacing/>
              <w:jc w:val="both"/>
              <w:rPr>
                <w:rFonts w:ascii="Arial" w:hAnsi="Arial" w:cs="Arial"/>
                <w:szCs w:val="24"/>
                <w:lang w:val="fr-CI"/>
              </w:rPr>
            </w:pPr>
            <w:r w:rsidRPr="0026525D">
              <w:rPr>
                <w:rFonts w:ascii="Arial" w:hAnsi="Arial" w:cs="Arial"/>
                <w:szCs w:val="24"/>
                <w:lang w:val="fr-CI"/>
              </w:rPr>
              <w:lastRenderedPageBreak/>
              <w:t>La création de l’Institut monétaire africain peut être retardée en raison du retard accusé dans la soumission de la Stratégie à la Conférence de l’UA pour adoption.</w:t>
            </w: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r w:rsidRPr="0026525D">
              <w:rPr>
                <w:rFonts w:ascii="Arial" w:hAnsi="Arial" w:cs="Arial"/>
                <w:szCs w:val="24"/>
                <w:lang w:val="fr-CI"/>
              </w:rPr>
              <w:t>Processus de ratification des instruments juridiques de la BAI et du FMA lent.</w:t>
            </w: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p>
          <w:p w:rsidR="00B7552D" w:rsidRPr="0026525D" w:rsidRDefault="00B7552D" w:rsidP="00AE2F12">
            <w:pPr>
              <w:contextualSpacing/>
              <w:jc w:val="both"/>
              <w:rPr>
                <w:rFonts w:ascii="Arial" w:hAnsi="Arial" w:cs="Arial"/>
                <w:szCs w:val="24"/>
                <w:lang w:val="fr-CI"/>
              </w:rPr>
            </w:pPr>
            <w:r w:rsidRPr="0026525D">
              <w:rPr>
                <w:rFonts w:ascii="Arial" w:hAnsi="Arial" w:cs="Arial"/>
                <w:szCs w:val="24"/>
                <w:lang w:val="fr-CI"/>
              </w:rPr>
              <w:lastRenderedPageBreak/>
              <w:t xml:space="preserve">Les États membres sont </w:t>
            </w:r>
            <w:r w:rsidR="00BB3DC0" w:rsidRPr="0026525D">
              <w:rPr>
                <w:rFonts w:ascii="Arial" w:hAnsi="Arial" w:cs="Arial"/>
                <w:szCs w:val="24"/>
                <w:lang w:val="fr-CI"/>
              </w:rPr>
              <w:t>peu disposés</w:t>
            </w:r>
            <w:r w:rsidRPr="0026525D">
              <w:rPr>
                <w:rFonts w:ascii="Arial" w:hAnsi="Arial" w:cs="Arial"/>
                <w:szCs w:val="24"/>
                <w:lang w:val="fr-CI"/>
              </w:rPr>
              <w:t xml:space="preserve"> à formuler d’autres observations.</w:t>
            </w:r>
          </w:p>
        </w:tc>
        <w:tc>
          <w:tcPr>
            <w:tcW w:w="2590" w:type="dxa"/>
          </w:tcPr>
          <w:p w:rsidR="00BB3DC0" w:rsidRPr="0026525D" w:rsidRDefault="00BB3DC0" w:rsidP="00AE2F12">
            <w:pPr>
              <w:contextualSpacing/>
              <w:jc w:val="both"/>
              <w:rPr>
                <w:rFonts w:ascii="Arial" w:hAnsi="Arial" w:cs="Arial"/>
                <w:szCs w:val="24"/>
                <w:lang w:val="fr-CI"/>
              </w:rPr>
            </w:pPr>
            <w:r w:rsidRPr="0026525D">
              <w:rPr>
                <w:rFonts w:ascii="Arial" w:hAnsi="Arial" w:cs="Arial"/>
                <w:szCs w:val="24"/>
                <w:lang w:val="fr-CI"/>
              </w:rPr>
              <w:lastRenderedPageBreak/>
              <w:t>La Stratégie sera soumise à la Conférence de l’UA pour adoption en janvier 2017.</w:t>
            </w:r>
          </w:p>
          <w:p w:rsidR="00BB3DC0" w:rsidRPr="0026525D" w:rsidRDefault="00BB3DC0" w:rsidP="00AE2F12">
            <w:pPr>
              <w:contextualSpacing/>
              <w:jc w:val="both"/>
              <w:rPr>
                <w:rFonts w:ascii="Arial" w:hAnsi="Arial" w:cs="Arial"/>
                <w:szCs w:val="24"/>
                <w:lang w:val="fr-CI"/>
              </w:rPr>
            </w:pPr>
          </w:p>
          <w:p w:rsidR="00E977F6" w:rsidRPr="0026525D" w:rsidRDefault="00E977F6"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r w:rsidRPr="0026525D">
              <w:rPr>
                <w:rFonts w:ascii="Arial" w:hAnsi="Arial" w:cs="Arial"/>
                <w:szCs w:val="24"/>
                <w:lang w:val="fr-CI"/>
              </w:rPr>
              <w:t>Le plaidoyer pour la signature et la ratification des instruments juridiques doit être engagé par la Commission.</w:t>
            </w: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p>
          <w:p w:rsidR="00BB3DC0" w:rsidRPr="0026525D" w:rsidRDefault="00BB3DC0" w:rsidP="00AE2F12">
            <w:pPr>
              <w:contextualSpacing/>
              <w:jc w:val="both"/>
              <w:rPr>
                <w:rFonts w:ascii="Arial" w:hAnsi="Arial" w:cs="Arial"/>
                <w:szCs w:val="24"/>
                <w:lang w:val="fr-CI"/>
              </w:rPr>
            </w:pPr>
            <w:r w:rsidRPr="0026525D">
              <w:rPr>
                <w:rFonts w:ascii="Arial" w:hAnsi="Arial" w:cs="Arial"/>
                <w:szCs w:val="24"/>
                <w:lang w:val="fr-CI"/>
              </w:rPr>
              <w:lastRenderedPageBreak/>
              <w:t>L’étude sera soumise à nouveau pour observations, puis soumise au CTS sur les finances, les affaires monétaires, la planification et l’intégration économiques en mars 2017.</w:t>
            </w:r>
          </w:p>
          <w:p w:rsidR="00BB3DC0" w:rsidRPr="0026525D" w:rsidRDefault="00BB3DC0" w:rsidP="00AE2F12">
            <w:pPr>
              <w:contextualSpacing/>
              <w:jc w:val="both"/>
              <w:rPr>
                <w:rFonts w:ascii="Arial" w:hAnsi="Arial" w:cs="Arial"/>
                <w:szCs w:val="24"/>
                <w:lang w:val="fr-CI"/>
              </w:rPr>
            </w:pPr>
          </w:p>
        </w:tc>
      </w:tr>
      <w:tr w:rsidR="00E977F6" w:rsidRPr="00F05C47" w:rsidTr="00175AF3">
        <w:tc>
          <w:tcPr>
            <w:tcW w:w="3114" w:type="dxa"/>
          </w:tcPr>
          <w:p w:rsidR="00E977F6" w:rsidRPr="0026525D" w:rsidRDefault="00E977F6" w:rsidP="00AE2F12">
            <w:pPr>
              <w:contextualSpacing/>
              <w:jc w:val="both"/>
              <w:rPr>
                <w:rFonts w:ascii="Arial" w:hAnsi="Arial" w:cs="Arial"/>
                <w:szCs w:val="24"/>
                <w:lang w:val="fr-CI"/>
              </w:rPr>
            </w:pPr>
          </w:p>
        </w:tc>
        <w:tc>
          <w:tcPr>
            <w:tcW w:w="2066" w:type="dxa"/>
          </w:tcPr>
          <w:p w:rsidR="00E977F6" w:rsidRPr="0026525D" w:rsidRDefault="00E977F6" w:rsidP="00AE2F12">
            <w:pPr>
              <w:contextualSpacing/>
              <w:jc w:val="both"/>
              <w:rPr>
                <w:rFonts w:ascii="Arial" w:hAnsi="Arial" w:cs="Arial"/>
                <w:szCs w:val="24"/>
                <w:lang w:val="fr-CI"/>
              </w:rPr>
            </w:pPr>
          </w:p>
        </w:tc>
        <w:tc>
          <w:tcPr>
            <w:tcW w:w="2590" w:type="dxa"/>
          </w:tcPr>
          <w:p w:rsidR="00E977F6" w:rsidRPr="0026525D" w:rsidRDefault="00E977F6" w:rsidP="00AE2F12">
            <w:pPr>
              <w:contextualSpacing/>
              <w:jc w:val="both"/>
              <w:rPr>
                <w:rFonts w:ascii="Arial" w:hAnsi="Arial" w:cs="Arial"/>
                <w:szCs w:val="24"/>
                <w:lang w:val="fr-CI"/>
              </w:rPr>
            </w:pPr>
          </w:p>
        </w:tc>
        <w:tc>
          <w:tcPr>
            <w:tcW w:w="2590" w:type="dxa"/>
          </w:tcPr>
          <w:p w:rsidR="00E977F6" w:rsidRPr="0026525D" w:rsidRDefault="00E977F6" w:rsidP="00AE2F12">
            <w:pPr>
              <w:contextualSpacing/>
              <w:jc w:val="both"/>
              <w:rPr>
                <w:rFonts w:ascii="Arial" w:hAnsi="Arial" w:cs="Arial"/>
                <w:szCs w:val="24"/>
                <w:lang w:val="fr-CI"/>
              </w:rPr>
            </w:pPr>
          </w:p>
        </w:tc>
        <w:tc>
          <w:tcPr>
            <w:tcW w:w="2590" w:type="dxa"/>
          </w:tcPr>
          <w:p w:rsidR="00E977F6" w:rsidRPr="0026525D" w:rsidRDefault="00E977F6" w:rsidP="00AE2F12">
            <w:pPr>
              <w:contextualSpacing/>
              <w:jc w:val="both"/>
              <w:rPr>
                <w:rFonts w:ascii="Arial" w:hAnsi="Arial" w:cs="Arial"/>
                <w:szCs w:val="24"/>
                <w:lang w:val="fr-CI"/>
              </w:rPr>
            </w:pPr>
          </w:p>
        </w:tc>
      </w:tr>
      <w:tr w:rsidR="0086645E" w:rsidRPr="00F05C47" w:rsidTr="00175AF3">
        <w:tc>
          <w:tcPr>
            <w:tcW w:w="3114" w:type="dxa"/>
          </w:tcPr>
          <w:p w:rsidR="0086645E" w:rsidRPr="0026525D" w:rsidRDefault="0086645E" w:rsidP="00AE2F12">
            <w:pPr>
              <w:contextualSpacing/>
              <w:jc w:val="both"/>
              <w:rPr>
                <w:rFonts w:ascii="Arial" w:hAnsi="Arial" w:cs="Arial"/>
                <w:szCs w:val="24"/>
                <w:lang w:val="fr-CI"/>
              </w:rPr>
            </w:pPr>
            <w:r w:rsidRPr="0026525D">
              <w:rPr>
                <w:rFonts w:ascii="Arial" w:hAnsi="Arial" w:cs="Arial"/>
                <w:szCs w:val="24"/>
                <w:lang w:val="fr-CI"/>
              </w:rPr>
              <w:t>2. Faire taire des armes à feu d’ici 2020</w:t>
            </w:r>
          </w:p>
        </w:tc>
        <w:tc>
          <w:tcPr>
            <w:tcW w:w="2066" w:type="dxa"/>
          </w:tcPr>
          <w:p w:rsidR="0086645E" w:rsidRPr="0026525D" w:rsidRDefault="0086645E" w:rsidP="00AE2F12">
            <w:pPr>
              <w:contextualSpacing/>
              <w:jc w:val="both"/>
              <w:rPr>
                <w:rFonts w:ascii="Arial" w:hAnsi="Arial" w:cs="Arial"/>
                <w:szCs w:val="24"/>
                <w:lang w:val="fr-CI"/>
              </w:rPr>
            </w:pPr>
            <w:r w:rsidRPr="0026525D">
              <w:rPr>
                <w:rFonts w:ascii="Arial" w:hAnsi="Arial" w:cs="Arial"/>
                <w:szCs w:val="24"/>
                <w:lang w:val="fr-CI"/>
              </w:rPr>
              <w:t>Département de paix et de sécurité</w:t>
            </w:r>
          </w:p>
        </w:tc>
        <w:tc>
          <w:tcPr>
            <w:tcW w:w="2590" w:type="dxa"/>
          </w:tcPr>
          <w:p w:rsidR="0086645E" w:rsidRPr="0026525D" w:rsidRDefault="0086645E" w:rsidP="00AE2F12">
            <w:pPr>
              <w:contextualSpacing/>
              <w:jc w:val="both"/>
              <w:rPr>
                <w:rFonts w:ascii="Arial" w:hAnsi="Arial" w:cs="Arial"/>
                <w:szCs w:val="24"/>
                <w:lang w:val="fr-CI"/>
              </w:rPr>
            </w:pPr>
            <w:r w:rsidRPr="0026525D">
              <w:rPr>
                <w:rFonts w:ascii="Arial" w:hAnsi="Arial" w:cs="Arial"/>
                <w:szCs w:val="24"/>
                <w:lang w:val="fr-CI"/>
              </w:rPr>
              <w:t>La feuille de route pour la réalisation de ce projet phare, qui avait été préparée plus tôt sous la forme de la feuille de route de l’APSA 2016-2020, a été validée par le Conseil de paix et de sécurité lors de sa retraite qui a eu lieu du 7 au 9 novembre 2016 à Lusaka (Zambie).</w:t>
            </w:r>
          </w:p>
        </w:tc>
        <w:tc>
          <w:tcPr>
            <w:tcW w:w="2590" w:type="dxa"/>
          </w:tcPr>
          <w:p w:rsidR="0086645E" w:rsidRPr="0026525D" w:rsidRDefault="0086645E" w:rsidP="00AE2F12">
            <w:pPr>
              <w:contextualSpacing/>
              <w:jc w:val="both"/>
              <w:rPr>
                <w:rFonts w:ascii="Arial" w:hAnsi="Arial" w:cs="Arial"/>
                <w:szCs w:val="24"/>
                <w:lang w:val="fr-CI"/>
              </w:rPr>
            </w:pPr>
            <w:r w:rsidRPr="0026525D">
              <w:rPr>
                <w:rFonts w:ascii="Arial" w:hAnsi="Arial" w:cs="Arial"/>
                <w:szCs w:val="24"/>
                <w:lang w:val="fr-CI"/>
              </w:rPr>
              <w:t>La feuille doit maintenant être examinée par les organes délibérants.</w:t>
            </w:r>
          </w:p>
        </w:tc>
        <w:tc>
          <w:tcPr>
            <w:tcW w:w="2590" w:type="dxa"/>
          </w:tcPr>
          <w:p w:rsidR="0086645E" w:rsidRPr="0026525D" w:rsidRDefault="0086645E" w:rsidP="00AE2F12">
            <w:pPr>
              <w:contextualSpacing/>
              <w:jc w:val="both"/>
              <w:rPr>
                <w:rFonts w:ascii="Arial" w:hAnsi="Arial" w:cs="Arial"/>
                <w:szCs w:val="24"/>
                <w:lang w:val="fr-CI"/>
              </w:rPr>
            </w:pPr>
            <w:r w:rsidRPr="0026525D">
              <w:rPr>
                <w:rFonts w:ascii="Arial" w:hAnsi="Arial" w:cs="Arial"/>
                <w:szCs w:val="24"/>
                <w:lang w:val="fr-CI"/>
              </w:rPr>
              <w:t>Elle sera soumise à la Conférence de l’UA en janvier 2017 pour examen et approbation.</w:t>
            </w:r>
          </w:p>
        </w:tc>
      </w:tr>
      <w:tr w:rsidR="0086645E" w:rsidRPr="00F05C47" w:rsidTr="00175AF3">
        <w:tc>
          <w:tcPr>
            <w:tcW w:w="3114" w:type="dxa"/>
          </w:tcPr>
          <w:p w:rsidR="0086645E" w:rsidRPr="0026525D" w:rsidRDefault="0086645E" w:rsidP="00AE2F12">
            <w:pPr>
              <w:contextualSpacing/>
              <w:jc w:val="both"/>
              <w:rPr>
                <w:rFonts w:ascii="Arial" w:hAnsi="Arial" w:cs="Arial"/>
                <w:szCs w:val="24"/>
                <w:lang w:val="fr-CI"/>
              </w:rPr>
            </w:pPr>
          </w:p>
        </w:tc>
        <w:tc>
          <w:tcPr>
            <w:tcW w:w="2066" w:type="dxa"/>
          </w:tcPr>
          <w:p w:rsidR="0086645E" w:rsidRPr="0026525D" w:rsidRDefault="0086645E" w:rsidP="00AE2F12">
            <w:pPr>
              <w:contextualSpacing/>
              <w:jc w:val="both"/>
              <w:rPr>
                <w:rFonts w:ascii="Arial" w:hAnsi="Arial" w:cs="Arial"/>
                <w:szCs w:val="24"/>
                <w:lang w:val="fr-CI"/>
              </w:rPr>
            </w:pPr>
          </w:p>
        </w:tc>
        <w:tc>
          <w:tcPr>
            <w:tcW w:w="2590" w:type="dxa"/>
          </w:tcPr>
          <w:p w:rsidR="0086645E" w:rsidRPr="0026525D" w:rsidRDefault="0086645E" w:rsidP="00AE2F12">
            <w:pPr>
              <w:contextualSpacing/>
              <w:jc w:val="both"/>
              <w:rPr>
                <w:rFonts w:ascii="Arial" w:hAnsi="Arial" w:cs="Arial"/>
                <w:szCs w:val="24"/>
                <w:lang w:val="fr-CI"/>
              </w:rPr>
            </w:pPr>
          </w:p>
        </w:tc>
        <w:tc>
          <w:tcPr>
            <w:tcW w:w="2590" w:type="dxa"/>
          </w:tcPr>
          <w:p w:rsidR="0086645E" w:rsidRPr="0026525D" w:rsidRDefault="0086645E" w:rsidP="00AE2F12">
            <w:pPr>
              <w:contextualSpacing/>
              <w:jc w:val="both"/>
              <w:rPr>
                <w:rFonts w:ascii="Arial" w:hAnsi="Arial" w:cs="Arial"/>
                <w:szCs w:val="24"/>
                <w:lang w:val="fr-CI"/>
              </w:rPr>
            </w:pPr>
          </w:p>
        </w:tc>
        <w:tc>
          <w:tcPr>
            <w:tcW w:w="2590" w:type="dxa"/>
          </w:tcPr>
          <w:p w:rsidR="0086645E" w:rsidRPr="0026525D" w:rsidRDefault="0086645E" w:rsidP="00AE2F12">
            <w:pPr>
              <w:contextualSpacing/>
              <w:jc w:val="both"/>
              <w:rPr>
                <w:rFonts w:ascii="Arial" w:hAnsi="Arial" w:cs="Arial"/>
                <w:szCs w:val="24"/>
                <w:lang w:val="fr-CI"/>
              </w:rPr>
            </w:pPr>
          </w:p>
        </w:tc>
      </w:tr>
      <w:tr w:rsidR="0086645E" w:rsidRPr="00F05C47" w:rsidTr="00175AF3">
        <w:tc>
          <w:tcPr>
            <w:tcW w:w="3114" w:type="dxa"/>
          </w:tcPr>
          <w:p w:rsidR="0086645E" w:rsidRPr="0026525D" w:rsidRDefault="0086645E" w:rsidP="00AE2F12">
            <w:pPr>
              <w:contextualSpacing/>
              <w:jc w:val="both"/>
              <w:rPr>
                <w:rFonts w:ascii="Arial" w:hAnsi="Arial" w:cs="Arial"/>
                <w:szCs w:val="24"/>
                <w:lang w:val="fr-CI"/>
              </w:rPr>
            </w:pPr>
            <w:r w:rsidRPr="0026525D">
              <w:rPr>
                <w:rFonts w:ascii="Arial" w:hAnsi="Arial" w:cs="Arial"/>
                <w:szCs w:val="24"/>
                <w:lang w:val="fr-CI"/>
              </w:rPr>
              <w:t>3. Stratégie africaine sur les produits de base</w:t>
            </w:r>
          </w:p>
        </w:tc>
        <w:tc>
          <w:tcPr>
            <w:tcW w:w="2066" w:type="dxa"/>
          </w:tcPr>
          <w:p w:rsidR="0086645E" w:rsidRPr="0026525D" w:rsidRDefault="0086645E" w:rsidP="00AE2F12">
            <w:pPr>
              <w:contextualSpacing/>
              <w:jc w:val="both"/>
              <w:rPr>
                <w:rFonts w:ascii="Arial" w:hAnsi="Arial" w:cs="Arial"/>
                <w:szCs w:val="24"/>
                <w:lang w:val="fr-CI"/>
              </w:rPr>
            </w:pPr>
            <w:r w:rsidRPr="0026525D">
              <w:rPr>
                <w:rFonts w:ascii="Arial" w:hAnsi="Arial" w:cs="Arial"/>
                <w:szCs w:val="24"/>
                <w:lang w:val="fr-CI"/>
              </w:rPr>
              <w:t>Département du commerce et de l’industrie</w:t>
            </w:r>
          </w:p>
        </w:tc>
        <w:tc>
          <w:tcPr>
            <w:tcW w:w="2590" w:type="dxa"/>
          </w:tcPr>
          <w:p w:rsidR="0086645E" w:rsidRPr="0026525D" w:rsidRDefault="00B77039" w:rsidP="00AE2F12">
            <w:pPr>
              <w:contextualSpacing/>
              <w:jc w:val="both"/>
              <w:rPr>
                <w:rFonts w:ascii="Arial" w:hAnsi="Arial" w:cs="Arial"/>
                <w:szCs w:val="24"/>
                <w:lang w:val="fr-CI"/>
              </w:rPr>
            </w:pPr>
            <w:r w:rsidRPr="0026525D">
              <w:rPr>
                <w:rFonts w:ascii="Arial" w:hAnsi="Arial" w:cs="Arial"/>
                <w:szCs w:val="24"/>
                <w:lang w:val="fr-CI"/>
              </w:rPr>
              <w:t xml:space="preserve">Le projet de stratégie de l’Union africaine sur les produits de base a été adopté par le Comité technique spécialisé sur </w:t>
            </w:r>
            <w:r w:rsidRPr="0026525D">
              <w:rPr>
                <w:rFonts w:ascii="Arial" w:hAnsi="Arial" w:cs="Arial"/>
                <w:szCs w:val="24"/>
                <w:lang w:val="fr-CI"/>
              </w:rPr>
              <w:lastRenderedPageBreak/>
              <w:t>le commerce et l’industrie et les ressources minérales.</w:t>
            </w:r>
          </w:p>
        </w:tc>
        <w:tc>
          <w:tcPr>
            <w:tcW w:w="2590" w:type="dxa"/>
          </w:tcPr>
          <w:p w:rsidR="0086645E" w:rsidRPr="0026525D" w:rsidRDefault="00B77039" w:rsidP="00AE2F12">
            <w:pPr>
              <w:contextualSpacing/>
              <w:jc w:val="both"/>
              <w:rPr>
                <w:rFonts w:ascii="Arial" w:hAnsi="Arial" w:cs="Arial"/>
                <w:szCs w:val="24"/>
                <w:lang w:val="fr-CI"/>
              </w:rPr>
            </w:pPr>
            <w:r w:rsidRPr="0026525D">
              <w:rPr>
                <w:rFonts w:ascii="Arial" w:hAnsi="Arial" w:cs="Arial"/>
                <w:szCs w:val="24"/>
                <w:lang w:val="fr-CI"/>
              </w:rPr>
              <w:lastRenderedPageBreak/>
              <w:t xml:space="preserve">Il n’attend plus que l’approbation définitive des organes délibérants de l’UA et </w:t>
            </w:r>
            <w:r w:rsidRPr="0026525D">
              <w:rPr>
                <w:rFonts w:ascii="Arial" w:hAnsi="Arial" w:cs="Arial"/>
                <w:szCs w:val="24"/>
                <w:lang w:val="fr-CI"/>
              </w:rPr>
              <w:lastRenderedPageBreak/>
              <w:t>d’être assorti d’un Plan d’action.</w:t>
            </w:r>
          </w:p>
        </w:tc>
        <w:tc>
          <w:tcPr>
            <w:tcW w:w="2590"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lastRenderedPageBreak/>
              <w:t>Il sera finalement soumis aux organes délibérants de l’UA en janvier 2017.</w:t>
            </w:r>
          </w:p>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lastRenderedPageBreak/>
              <w:t>La prochaine activité sera l’élaboration d’un plan d’action.</w:t>
            </w:r>
          </w:p>
          <w:p w:rsidR="0086645E" w:rsidRPr="0026525D" w:rsidRDefault="0086645E" w:rsidP="00AE2F12">
            <w:pPr>
              <w:contextualSpacing/>
              <w:jc w:val="both"/>
              <w:rPr>
                <w:rFonts w:ascii="Arial" w:hAnsi="Arial" w:cs="Arial"/>
                <w:szCs w:val="24"/>
                <w:lang w:val="fr-CI"/>
              </w:rPr>
            </w:pPr>
          </w:p>
        </w:tc>
      </w:tr>
      <w:tr w:rsidR="0086645E" w:rsidRPr="00F05C47" w:rsidTr="00175AF3">
        <w:tc>
          <w:tcPr>
            <w:tcW w:w="3114" w:type="dxa"/>
          </w:tcPr>
          <w:p w:rsidR="0086645E" w:rsidRPr="0026525D" w:rsidRDefault="0086645E" w:rsidP="00AE2F12">
            <w:pPr>
              <w:contextualSpacing/>
              <w:jc w:val="both"/>
              <w:rPr>
                <w:rFonts w:ascii="Arial" w:hAnsi="Arial" w:cs="Arial"/>
                <w:szCs w:val="24"/>
                <w:lang w:val="fr-CI"/>
              </w:rPr>
            </w:pPr>
          </w:p>
        </w:tc>
        <w:tc>
          <w:tcPr>
            <w:tcW w:w="2066" w:type="dxa"/>
          </w:tcPr>
          <w:p w:rsidR="0086645E" w:rsidRPr="0026525D" w:rsidRDefault="0086645E" w:rsidP="00AE2F12">
            <w:pPr>
              <w:contextualSpacing/>
              <w:jc w:val="both"/>
              <w:rPr>
                <w:rFonts w:ascii="Arial" w:hAnsi="Arial" w:cs="Arial"/>
                <w:szCs w:val="24"/>
                <w:lang w:val="fr-CI"/>
              </w:rPr>
            </w:pPr>
          </w:p>
        </w:tc>
        <w:tc>
          <w:tcPr>
            <w:tcW w:w="2590" w:type="dxa"/>
          </w:tcPr>
          <w:p w:rsidR="0086645E" w:rsidRPr="0026525D" w:rsidRDefault="0086645E" w:rsidP="00AE2F12">
            <w:pPr>
              <w:contextualSpacing/>
              <w:jc w:val="both"/>
              <w:rPr>
                <w:rFonts w:ascii="Arial" w:hAnsi="Arial" w:cs="Arial"/>
                <w:szCs w:val="24"/>
                <w:lang w:val="fr-CI"/>
              </w:rPr>
            </w:pPr>
          </w:p>
        </w:tc>
        <w:tc>
          <w:tcPr>
            <w:tcW w:w="2590" w:type="dxa"/>
          </w:tcPr>
          <w:p w:rsidR="0086645E" w:rsidRPr="0026525D" w:rsidRDefault="0086645E" w:rsidP="00AE2F12">
            <w:pPr>
              <w:contextualSpacing/>
              <w:jc w:val="both"/>
              <w:rPr>
                <w:rFonts w:ascii="Arial" w:hAnsi="Arial" w:cs="Arial"/>
                <w:szCs w:val="24"/>
                <w:lang w:val="fr-CI"/>
              </w:rPr>
            </w:pPr>
          </w:p>
        </w:tc>
        <w:tc>
          <w:tcPr>
            <w:tcW w:w="2590" w:type="dxa"/>
          </w:tcPr>
          <w:p w:rsidR="0086645E" w:rsidRPr="0026525D" w:rsidRDefault="0086645E" w:rsidP="00AE2F12">
            <w:pPr>
              <w:contextualSpacing/>
              <w:jc w:val="both"/>
              <w:rPr>
                <w:rFonts w:ascii="Arial" w:hAnsi="Arial" w:cs="Arial"/>
                <w:szCs w:val="24"/>
                <w:lang w:val="fr-CI"/>
              </w:rPr>
            </w:pPr>
          </w:p>
        </w:tc>
      </w:tr>
      <w:tr w:rsidR="00975E34" w:rsidRPr="00F05C47" w:rsidTr="00175AF3">
        <w:tc>
          <w:tcPr>
            <w:tcW w:w="3114"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t>4. Plate</w:t>
            </w:r>
            <w:r w:rsidR="00BF6120" w:rsidRPr="0026525D">
              <w:rPr>
                <w:rFonts w:ascii="Arial" w:hAnsi="Arial" w:cs="Arial"/>
                <w:szCs w:val="24"/>
                <w:lang w:val="fr-CI"/>
              </w:rPr>
              <w:t>-</w:t>
            </w:r>
            <w:r w:rsidRPr="0026525D">
              <w:rPr>
                <w:rFonts w:ascii="Arial" w:hAnsi="Arial" w:cs="Arial"/>
                <w:szCs w:val="24"/>
                <w:lang w:val="fr-CI"/>
              </w:rPr>
              <w:t>forme annuelle africaine de dialogue économique</w:t>
            </w:r>
            <w:r w:rsidR="00331E1D" w:rsidRPr="0026525D">
              <w:rPr>
                <w:rFonts w:ascii="Arial" w:hAnsi="Arial" w:cs="Arial"/>
                <w:szCs w:val="24"/>
                <w:lang w:val="fr-CI"/>
              </w:rPr>
              <w:t>/</w:t>
            </w:r>
            <w:r w:rsidRPr="0026525D">
              <w:rPr>
                <w:rFonts w:ascii="Arial" w:hAnsi="Arial" w:cs="Arial"/>
                <w:szCs w:val="24"/>
                <w:lang w:val="fr-CI"/>
              </w:rPr>
              <w:t>Plate-forme économique africaine</w:t>
            </w:r>
          </w:p>
          <w:p w:rsidR="00975E34" w:rsidRPr="0026525D" w:rsidRDefault="00975E34" w:rsidP="00AE2F12">
            <w:pPr>
              <w:contextualSpacing/>
              <w:jc w:val="both"/>
              <w:rPr>
                <w:rFonts w:ascii="Arial" w:hAnsi="Arial" w:cs="Arial"/>
                <w:szCs w:val="24"/>
                <w:lang w:val="fr-CI"/>
              </w:rPr>
            </w:pPr>
          </w:p>
        </w:tc>
        <w:tc>
          <w:tcPr>
            <w:tcW w:w="2066"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t>Bureau du vice-président</w:t>
            </w:r>
            <w:r w:rsidR="00331E1D" w:rsidRPr="0026525D">
              <w:rPr>
                <w:rFonts w:ascii="Arial" w:hAnsi="Arial" w:cs="Arial"/>
                <w:szCs w:val="24"/>
                <w:lang w:val="fr-CI"/>
              </w:rPr>
              <w:t>/</w:t>
            </w:r>
            <w:r w:rsidRPr="0026525D">
              <w:rPr>
                <w:rFonts w:ascii="Arial" w:hAnsi="Arial" w:cs="Arial"/>
                <w:szCs w:val="24"/>
                <w:lang w:val="fr-CI"/>
              </w:rPr>
              <w:t>Planification stratégique (SPPMERM)</w:t>
            </w:r>
          </w:p>
        </w:tc>
        <w:tc>
          <w:tcPr>
            <w:tcW w:w="2590"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t>Le projet est toujours en cours.</w:t>
            </w:r>
          </w:p>
        </w:tc>
        <w:tc>
          <w:tcPr>
            <w:tcW w:w="2590"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t>Les préparatifs de sa réunion inaugurale prévue à Maurice n’ont pu être exécutés comme prévu et les dates ont changé.</w:t>
            </w:r>
          </w:p>
        </w:tc>
        <w:tc>
          <w:tcPr>
            <w:tcW w:w="2590"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t>La réunion est désormais prévue de se tenir à Maurice en mars 2017.</w:t>
            </w:r>
          </w:p>
          <w:p w:rsidR="00975E34" w:rsidRPr="0026525D" w:rsidRDefault="00975E34" w:rsidP="00AE2F12">
            <w:pPr>
              <w:contextualSpacing/>
              <w:jc w:val="both"/>
              <w:rPr>
                <w:rFonts w:ascii="Arial" w:hAnsi="Arial" w:cs="Arial"/>
                <w:szCs w:val="24"/>
                <w:lang w:val="fr-CI"/>
              </w:rPr>
            </w:pPr>
          </w:p>
        </w:tc>
      </w:tr>
      <w:tr w:rsidR="00975E34" w:rsidRPr="00F05C47" w:rsidTr="00175AF3">
        <w:tc>
          <w:tcPr>
            <w:tcW w:w="3114" w:type="dxa"/>
          </w:tcPr>
          <w:p w:rsidR="00975E34" w:rsidRPr="0026525D" w:rsidRDefault="00975E34" w:rsidP="00AE2F12">
            <w:pPr>
              <w:contextualSpacing/>
              <w:jc w:val="both"/>
              <w:rPr>
                <w:rFonts w:ascii="Arial" w:hAnsi="Arial" w:cs="Arial"/>
                <w:szCs w:val="24"/>
                <w:lang w:val="fr-CI"/>
              </w:rPr>
            </w:pPr>
          </w:p>
        </w:tc>
        <w:tc>
          <w:tcPr>
            <w:tcW w:w="2066" w:type="dxa"/>
          </w:tcPr>
          <w:p w:rsidR="00975E34" w:rsidRPr="0026525D" w:rsidRDefault="00975E34" w:rsidP="00AE2F12">
            <w:pPr>
              <w:contextualSpacing/>
              <w:jc w:val="both"/>
              <w:rPr>
                <w:rFonts w:ascii="Arial" w:hAnsi="Arial" w:cs="Arial"/>
                <w:szCs w:val="24"/>
                <w:lang w:val="fr-CI"/>
              </w:rPr>
            </w:pPr>
          </w:p>
        </w:tc>
        <w:tc>
          <w:tcPr>
            <w:tcW w:w="2590" w:type="dxa"/>
          </w:tcPr>
          <w:p w:rsidR="00975E34" w:rsidRPr="0026525D" w:rsidRDefault="00975E34" w:rsidP="00AE2F12">
            <w:pPr>
              <w:contextualSpacing/>
              <w:jc w:val="both"/>
              <w:rPr>
                <w:rFonts w:ascii="Arial" w:hAnsi="Arial" w:cs="Arial"/>
                <w:szCs w:val="24"/>
                <w:lang w:val="fr-CI"/>
              </w:rPr>
            </w:pPr>
          </w:p>
        </w:tc>
        <w:tc>
          <w:tcPr>
            <w:tcW w:w="2590" w:type="dxa"/>
          </w:tcPr>
          <w:p w:rsidR="00975E34" w:rsidRPr="0026525D" w:rsidRDefault="00975E34" w:rsidP="00AE2F12">
            <w:pPr>
              <w:contextualSpacing/>
              <w:jc w:val="both"/>
              <w:rPr>
                <w:rFonts w:ascii="Arial" w:hAnsi="Arial" w:cs="Arial"/>
                <w:szCs w:val="24"/>
                <w:lang w:val="fr-CI"/>
              </w:rPr>
            </w:pPr>
          </w:p>
        </w:tc>
        <w:tc>
          <w:tcPr>
            <w:tcW w:w="2590" w:type="dxa"/>
          </w:tcPr>
          <w:p w:rsidR="00975E34" w:rsidRPr="0026525D" w:rsidRDefault="00975E34" w:rsidP="00AE2F12">
            <w:pPr>
              <w:contextualSpacing/>
              <w:jc w:val="both"/>
              <w:rPr>
                <w:rFonts w:ascii="Arial" w:hAnsi="Arial" w:cs="Arial"/>
                <w:szCs w:val="24"/>
                <w:lang w:val="fr-CI"/>
              </w:rPr>
            </w:pPr>
          </w:p>
        </w:tc>
      </w:tr>
      <w:tr w:rsidR="00975E34" w:rsidRPr="00F05C47" w:rsidTr="00175AF3">
        <w:tc>
          <w:tcPr>
            <w:tcW w:w="3114"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t>5. Le barrage d’Inga</w:t>
            </w:r>
          </w:p>
        </w:tc>
        <w:tc>
          <w:tcPr>
            <w:tcW w:w="2066" w:type="dxa"/>
          </w:tcPr>
          <w:p w:rsidR="00975E34" w:rsidRPr="0026525D" w:rsidRDefault="00975E34" w:rsidP="00AE2F12">
            <w:pPr>
              <w:contextualSpacing/>
              <w:jc w:val="both"/>
              <w:rPr>
                <w:rFonts w:ascii="Arial" w:hAnsi="Arial" w:cs="Arial"/>
                <w:szCs w:val="24"/>
                <w:lang w:val="fr-CI"/>
              </w:rPr>
            </w:pPr>
            <w:r w:rsidRPr="0026525D">
              <w:rPr>
                <w:rFonts w:ascii="Arial" w:hAnsi="Arial" w:cs="Arial"/>
                <w:szCs w:val="24"/>
                <w:lang w:val="fr-CI"/>
              </w:rPr>
              <w:t>Département de l’Infrastructure et de l’Énergie</w:t>
            </w:r>
          </w:p>
        </w:tc>
        <w:tc>
          <w:tcPr>
            <w:tcW w:w="2590" w:type="dxa"/>
          </w:tcPr>
          <w:p w:rsidR="00975E34" w:rsidRPr="0026525D" w:rsidRDefault="00D170F6" w:rsidP="00AE2F12">
            <w:pPr>
              <w:contextualSpacing/>
              <w:jc w:val="both"/>
              <w:rPr>
                <w:rFonts w:ascii="Arial" w:hAnsi="Arial" w:cs="Arial"/>
                <w:szCs w:val="24"/>
                <w:lang w:val="fr-CI"/>
              </w:rPr>
            </w:pPr>
            <w:r w:rsidRPr="0026525D">
              <w:rPr>
                <w:rFonts w:ascii="Arial" w:hAnsi="Arial" w:cs="Arial"/>
                <w:szCs w:val="24"/>
                <w:lang w:val="fr-CI"/>
              </w:rPr>
              <w:t>Le projet est en cours ; et en plus du soutien technique, la CUA continue de mobiliser les partenaires de développement et le secteur privé appuyer le projet.</w:t>
            </w:r>
          </w:p>
        </w:tc>
        <w:tc>
          <w:tcPr>
            <w:tcW w:w="2590" w:type="dxa"/>
          </w:tcPr>
          <w:p w:rsidR="00975E34" w:rsidRPr="0026525D" w:rsidRDefault="00D170F6" w:rsidP="00AE2F12">
            <w:pPr>
              <w:contextualSpacing/>
              <w:jc w:val="both"/>
              <w:rPr>
                <w:rFonts w:ascii="Arial" w:hAnsi="Arial" w:cs="Arial"/>
                <w:szCs w:val="24"/>
                <w:lang w:val="fr-CI"/>
              </w:rPr>
            </w:pPr>
            <w:r w:rsidRPr="0026525D">
              <w:rPr>
                <w:rFonts w:ascii="Arial" w:hAnsi="Arial" w:cs="Arial"/>
                <w:szCs w:val="24"/>
                <w:lang w:val="fr-CI"/>
              </w:rPr>
              <w:t>Le lancement du processus de sélection du promoteur privé parmi les trois consortiums pré-présélectionnés qui a débuté en août 2015 attend toujours d’être parachevé.</w:t>
            </w:r>
          </w:p>
        </w:tc>
        <w:tc>
          <w:tcPr>
            <w:tcW w:w="2590" w:type="dxa"/>
          </w:tcPr>
          <w:p w:rsidR="00975E34" w:rsidRPr="0026525D" w:rsidRDefault="00D170F6" w:rsidP="00AE2F12">
            <w:pPr>
              <w:contextualSpacing/>
              <w:jc w:val="both"/>
              <w:rPr>
                <w:rFonts w:ascii="Arial" w:hAnsi="Arial" w:cs="Arial"/>
                <w:szCs w:val="24"/>
                <w:lang w:val="fr-CI"/>
              </w:rPr>
            </w:pPr>
            <w:r w:rsidRPr="0026525D">
              <w:rPr>
                <w:rFonts w:ascii="Arial" w:hAnsi="Arial" w:cs="Arial"/>
                <w:szCs w:val="24"/>
                <w:lang w:val="fr-CI"/>
              </w:rPr>
              <w:t>Le lancement de la construction de l’Inga 3 devrait encore avoir lieu en juin 2017, après quoi il faudra peut-être cinq à sept ans pour la parachever.</w:t>
            </w:r>
          </w:p>
        </w:tc>
      </w:tr>
      <w:tr w:rsidR="00D170F6" w:rsidRPr="00F05C47" w:rsidTr="00175AF3">
        <w:tc>
          <w:tcPr>
            <w:tcW w:w="3114" w:type="dxa"/>
          </w:tcPr>
          <w:p w:rsidR="00D170F6" w:rsidRPr="0026525D" w:rsidRDefault="00D170F6" w:rsidP="00AE2F12">
            <w:pPr>
              <w:contextualSpacing/>
              <w:jc w:val="both"/>
              <w:rPr>
                <w:rFonts w:ascii="Arial" w:hAnsi="Arial" w:cs="Arial"/>
                <w:szCs w:val="24"/>
                <w:lang w:val="fr-CI"/>
              </w:rPr>
            </w:pPr>
          </w:p>
        </w:tc>
        <w:tc>
          <w:tcPr>
            <w:tcW w:w="2066" w:type="dxa"/>
          </w:tcPr>
          <w:p w:rsidR="00D170F6" w:rsidRPr="0026525D" w:rsidRDefault="00D170F6" w:rsidP="00AE2F12">
            <w:pPr>
              <w:contextualSpacing/>
              <w:jc w:val="both"/>
              <w:rPr>
                <w:rFonts w:ascii="Arial" w:hAnsi="Arial" w:cs="Arial"/>
                <w:szCs w:val="24"/>
                <w:lang w:val="fr-CI"/>
              </w:rPr>
            </w:pPr>
          </w:p>
        </w:tc>
        <w:tc>
          <w:tcPr>
            <w:tcW w:w="2590" w:type="dxa"/>
          </w:tcPr>
          <w:p w:rsidR="00D170F6" w:rsidRPr="0026525D" w:rsidRDefault="00D170F6" w:rsidP="00AE2F12">
            <w:pPr>
              <w:contextualSpacing/>
              <w:jc w:val="both"/>
              <w:rPr>
                <w:rFonts w:ascii="Arial" w:hAnsi="Arial" w:cs="Arial"/>
                <w:szCs w:val="24"/>
                <w:lang w:val="fr-CI"/>
              </w:rPr>
            </w:pPr>
          </w:p>
        </w:tc>
        <w:tc>
          <w:tcPr>
            <w:tcW w:w="2590" w:type="dxa"/>
          </w:tcPr>
          <w:p w:rsidR="00D170F6" w:rsidRPr="0026525D" w:rsidRDefault="00D170F6" w:rsidP="00AE2F12">
            <w:pPr>
              <w:contextualSpacing/>
              <w:jc w:val="both"/>
              <w:rPr>
                <w:rFonts w:ascii="Arial" w:hAnsi="Arial" w:cs="Arial"/>
                <w:szCs w:val="24"/>
                <w:lang w:val="fr-CI"/>
              </w:rPr>
            </w:pPr>
          </w:p>
        </w:tc>
        <w:tc>
          <w:tcPr>
            <w:tcW w:w="2590" w:type="dxa"/>
          </w:tcPr>
          <w:p w:rsidR="00D170F6" w:rsidRPr="0026525D" w:rsidRDefault="00D170F6" w:rsidP="00AE2F12">
            <w:pPr>
              <w:contextualSpacing/>
              <w:jc w:val="both"/>
              <w:rPr>
                <w:rFonts w:ascii="Arial" w:hAnsi="Arial" w:cs="Arial"/>
                <w:szCs w:val="24"/>
                <w:lang w:val="fr-CI"/>
              </w:rPr>
            </w:pPr>
          </w:p>
        </w:tc>
      </w:tr>
      <w:tr w:rsidR="00D170F6" w:rsidRPr="00F05C47" w:rsidTr="00175AF3">
        <w:tc>
          <w:tcPr>
            <w:tcW w:w="3114" w:type="dxa"/>
          </w:tcPr>
          <w:p w:rsidR="00D170F6" w:rsidRPr="0026525D" w:rsidRDefault="00B971BD" w:rsidP="00AE2F12">
            <w:pPr>
              <w:contextualSpacing/>
              <w:jc w:val="both"/>
              <w:rPr>
                <w:rFonts w:ascii="Arial" w:hAnsi="Arial" w:cs="Arial"/>
                <w:szCs w:val="24"/>
                <w:lang w:val="fr-CI"/>
              </w:rPr>
            </w:pPr>
            <w:r w:rsidRPr="0026525D">
              <w:rPr>
                <w:rFonts w:ascii="Arial" w:hAnsi="Arial" w:cs="Arial"/>
                <w:szCs w:val="24"/>
                <w:lang w:val="fr-CI"/>
              </w:rPr>
              <w:t>6. Réseau panafricain intégré de trains à grande vitesse</w:t>
            </w:r>
          </w:p>
        </w:tc>
        <w:tc>
          <w:tcPr>
            <w:tcW w:w="2066" w:type="dxa"/>
          </w:tcPr>
          <w:p w:rsidR="00D170F6" w:rsidRPr="0026525D" w:rsidRDefault="00B971BD" w:rsidP="00AE2F12">
            <w:pPr>
              <w:contextualSpacing/>
              <w:jc w:val="both"/>
              <w:rPr>
                <w:rFonts w:ascii="Arial" w:hAnsi="Arial" w:cs="Arial"/>
                <w:szCs w:val="24"/>
                <w:lang w:val="fr-CI"/>
              </w:rPr>
            </w:pPr>
            <w:r w:rsidRPr="0026525D">
              <w:rPr>
                <w:rFonts w:ascii="Arial" w:hAnsi="Arial" w:cs="Arial"/>
                <w:szCs w:val="24"/>
                <w:lang w:val="fr-CI"/>
              </w:rPr>
              <w:t>Département des Infrastructures et de l’Énergie</w:t>
            </w:r>
          </w:p>
        </w:tc>
        <w:tc>
          <w:tcPr>
            <w:tcW w:w="2590" w:type="dxa"/>
          </w:tcPr>
          <w:p w:rsidR="00D170F6" w:rsidRPr="0026525D" w:rsidRDefault="00B971BD" w:rsidP="00AE2F12">
            <w:pPr>
              <w:contextualSpacing/>
              <w:jc w:val="both"/>
              <w:rPr>
                <w:rFonts w:ascii="Arial" w:hAnsi="Arial" w:cs="Arial"/>
                <w:szCs w:val="24"/>
                <w:lang w:val="fr-CI"/>
              </w:rPr>
            </w:pPr>
            <w:r w:rsidRPr="0026525D">
              <w:rPr>
                <w:rFonts w:ascii="Arial" w:hAnsi="Arial" w:cs="Arial"/>
                <w:szCs w:val="24"/>
                <w:lang w:val="fr-CI"/>
              </w:rPr>
              <w:t>Le Plan d’action quinquennal et la feuille de route convenue entre la CUA et le Gouvernement chinois ont été signés en octobre 2016.</w:t>
            </w:r>
          </w:p>
        </w:tc>
        <w:tc>
          <w:tcPr>
            <w:tcW w:w="2590" w:type="dxa"/>
          </w:tcPr>
          <w:p w:rsidR="00D170F6" w:rsidRPr="0026525D" w:rsidRDefault="00B971BD" w:rsidP="00AE2F12">
            <w:pPr>
              <w:contextualSpacing/>
              <w:jc w:val="both"/>
              <w:rPr>
                <w:rFonts w:ascii="Arial" w:hAnsi="Arial" w:cs="Arial"/>
                <w:szCs w:val="24"/>
                <w:lang w:val="fr-CI"/>
              </w:rPr>
            </w:pPr>
            <w:r w:rsidRPr="0026525D">
              <w:rPr>
                <w:rFonts w:ascii="Arial" w:hAnsi="Arial" w:cs="Arial"/>
                <w:szCs w:val="24"/>
                <w:lang w:val="fr-CI"/>
              </w:rPr>
              <w:t>Toutes les CER n’ont pas encore participé au projet, comme requis.</w:t>
            </w:r>
          </w:p>
        </w:tc>
        <w:tc>
          <w:tcPr>
            <w:tcW w:w="2590" w:type="dxa"/>
          </w:tcPr>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t>Suivant le plan d’action, les 5 prochaines années verront :</w:t>
            </w:r>
          </w:p>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t>1. l’élaboration d’accords sur les lois et règlements relatifs à la coopération ferroviaire.</w:t>
            </w:r>
          </w:p>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t>2. la création par la CUA d’une unité d’exécution du projet au cours des six à douze prochains mois.</w:t>
            </w:r>
          </w:p>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t xml:space="preserve">3. la collaboration pour faciliter la coopération </w:t>
            </w:r>
            <w:r w:rsidRPr="0026525D">
              <w:rPr>
                <w:rFonts w:ascii="Arial" w:hAnsi="Arial" w:cs="Arial"/>
                <w:szCs w:val="24"/>
                <w:lang w:val="fr-CI"/>
              </w:rPr>
              <w:lastRenderedPageBreak/>
              <w:t>entre les entreprises africaines et chinoises, en particulier en matière de renforcement des capacités des entreprises fournisseurs locales et le développement de la fabrication avancée en Afrique ; le transfert de technologie, le renforcement des capacités pour la fabrication locale, y compris l’éducation et le développement des compétences préalables.</w:t>
            </w:r>
          </w:p>
          <w:p w:rsidR="00D170F6" w:rsidRPr="0026525D" w:rsidRDefault="00662F57" w:rsidP="00AE2F12">
            <w:pPr>
              <w:contextualSpacing/>
              <w:jc w:val="both"/>
              <w:rPr>
                <w:rFonts w:ascii="Arial" w:hAnsi="Arial" w:cs="Arial"/>
                <w:szCs w:val="24"/>
                <w:lang w:val="fr-CI"/>
              </w:rPr>
            </w:pPr>
            <w:r w:rsidRPr="0026525D">
              <w:rPr>
                <w:rFonts w:ascii="Arial" w:hAnsi="Arial" w:cs="Arial"/>
                <w:szCs w:val="24"/>
                <w:lang w:val="fr-CI"/>
              </w:rPr>
              <w:t>4. Le gouvernement chinois dirigera la formation du Groupe chinois de coopération sino-africaine dans le domaine des chemins de fer et des trains à grande vitesse afin de conduire le projet.</w:t>
            </w:r>
          </w:p>
        </w:tc>
      </w:tr>
      <w:tr w:rsidR="00662F57" w:rsidRPr="00F05C47" w:rsidTr="00175AF3">
        <w:tc>
          <w:tcPr>
            <w:tcW w:w="3114" w:type="dxa"/>
          </w:tcPr>
          <w:p w:rsidR="00662F57" w:rsidRPr="0026525D" w:rsidRDefault="00662F57" w:rsidP="00AE2F12">
            <w:pPr>
              <w:contextualSpacing/>
              <w:jc w:val="both"/>
              <w:rPr>
                <w:rFonts w:ascii="Arial" w:hAnsi="Arial" w:cs="Arial"/>
                <w:szCs w:val="24"/>
                <w:lang w:val="fr-CI"/>
              </w:rPr>
            </w:pPr>
          </w:p>
        </w:tc>
        <w:tc>
          <w:tcPr>
            <w:tcW w:w="2066"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r>
      <w:tr w:rsidR="00662F57" w:rsidRPr="00F05C47" w:rsidTr="00175AF3">
        <w:tc>
          <w:tcPr>
            <w:tcW w:w="3114" w:type="dxa"/>
          </w:tcPr>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t>7. Marché unique africain de l’aviation</w:t>
            </w:r>
          </w:p>
        </w:tc>
        <w:tc>
          <w:tcPr>
            <w:tcW w:w="2066" w:type="dxa"/>
          </w:tcPr>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t>Département des infrastructures et de l’énergie</w:t>
            </w:r>
          </w:p>
        </w:tc>
        <w:tc>
          <w:tcPr>
            <w:tcW w:w="2590" w:type="dxa"/>
          </w:tcPr>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t>Le projet de Protocole d’accord entre les CER et la CAFAC a été transmis aux CER pour examen.</w:t>
            </w:r>
          </w:p>
        </w:tc>
        <w:tc>
          <w:tcPr>
            <w:tcW w:w="2590"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r>
      <w:tr w:rsidR="00662F57" w:rsidRPr="00F05C47" w:rsidTr="00175AF3">
        <w:tc>
          <w:tcPr>
            <w:tcW w:w="3114" w:type="dxa"/>
          </w:tcPr>
          <w:p w:rsidR="00662F57" w:rsidRPr="0026525D" w:rsidRDefault="00662F57" w:rsidP="00AE2F12">
            <w:pPr>
              <w:contextualSpacing/>
              <w:jc w:val="both"/>
              <w:rPr>
                <w:rFonts w:ascii="Arial" w:hAnsi="Arial" w:cs="Arial"/>
                <w:szCs w:val="24"/>
                <w:lang w:val="fr-CI"/>
              </w:rPr>
            </w:pPr>
          </w:p>
        </w:tc>
        <w:tc>
          <w:tcPr>
            <w:tcW w:w="2066"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r>
      <w:tr w:rsidR="00662F57" w:rsidRPr="00F05C47" w:rsidTr="00175AF3">
        <w:tc>
          <w:tcPr>
            <w:tcW w:w="3114" w:type="dxa"/>
          </w:tcPr>
          <w:p w:rsidR="00662F57" w:rsidRPr="0026525D" w:rsidRDefault="00662F57" w:rsidP="00AE2F12">
            <w:pPr>
              <w:contextualSpacing/>
              <w:jc w:val="both"/>
              <w:rPr>
                <w:rFonts w:ascii="Arial" w:hAnsi="Arial" w:cs="Arial"/>
                <w:szCs w:val="24"/>
                <w:lang w:val="fr-CI"/>
              </w:rPr>
            </w:pPr>
            <w:r w:rsidRPr="0026525D">
              <w:rPr>
                <w:rFonts w:ascii="Arial" w:hAnsi="Arial" w:cs="Arial"/>
                <w:szCs w:val="24"/>
                <w:lang w:val="fr-CI"/>
              </w:rPr>
              <w:lastRenderedPageBreak/>
              <w:t>8. Stratégie africaine de l’espace extra-atmosphérique</w:t>
            </w:r>
          </w:p>
          <w:p w:rsidR="00662F57" w:rsidRPr="0026525D" w:rsidRDefault="00662F57" w:rsidP="00AE2F12">
            <w:pPr>
              <w:contextualSpacing/>
              <w:jc w:val="both"/>
              <w:rPr>
                <w:rFonts w:ascii="Arial" w:hAnsi="Arial" w:cs="Arial"/>
                <w:szCs w:val="24"/>
                <w:lang w:val="fr-CI"/>
              </w:rPr>
            </w:pPr>
          </w:p>
        </w:tc>
        <w:tc>
          <w:tcPr>
            <w:tcW w:w="2066" w:type="dxa"/>
          </w:tcPr>
          <w:p w:rsidR="00662F57" w:rsidRPr="0026525D" w:rsidRDefault="00075732" w:rsidP="00AE2F12">
            <w:pPr>
              <w:contextualSpacing/>
              <w:jc w:val="both"/>
              <w:rPr>
                <w:rFonts w:ascii="Arial" w:hAnsi="Arial" w:cs="Arial"/>
                <w:szCs w:val="24"/>
                <w:lang w:val="fr-CI"/>
              </w:rPr>
            </w:pPr>
            <w:r w:rsidRPr="0026525D">
              <w:rPr>
                <w:rFonts w:ascii="Arial" w:hAnsi="Arial" w:cs="Arial"/>
                <w:szCs w:val="24"/>
                <w:lang w:val="fr-CI"/>
              </w:rPr>
              <w:t>Département des ressources humaines, de la science et de la technologie</w:t>
            </w:r>
          </w:p>
        </w:tc>
        <w:tc>
          <w:tcPr>
            <w:tcW w:w="2590" w:type="dxa"/>
          </w:tcPr>
          <w:p w:rsidR="00662F57" w:rsidRPr="0026525D" w:rsidRDefault="00075732" w:rsidP="00AE2F12">
            <w:pPr>
              <w:contextualSpacing/>
              <w:jc w:val="both"/>
              <w:rPr>
                <w:rFonts w:ascii="Arial" w:hAnsi="Arial" w:cs="Arial"/>
                <w:szCs w:val="24"/>
                <w:lang w:val="fr-CI"/>
              </w:rPr>
            </w:pPr>
            <w:r w:rsidRPr="0026525D">
              <w:rPr>
                <w:rFonts w:ascii="Arial" w:hAnsi="Arial" w:cs="Arial"/>
                <w:szCs w:val="24"/>
                <w:lang w:val="fr-CI"/>
              </w:rPr>
              <w:t>L’exercice de définition d’une feuille de route claire et consensuelle pour la gouvernance de la politique et de la stratégie spatiales africaines est toujours en cours.</w:t>
            </w:r>
          </w:p>
        </w:tc>
        <w:tc>
          <w:tcPr>
            <w:tcW w:w="2590" w:type="dxa"/>
          </w:tcPr>
          <w:p w:rsidR="00662F57" w:rsidRPr="0026525D" w:rsidRDefault="00662F57" w:rsidP="00AE2F12">
            <w:pPr>
              <w:contextualSpacing/>
              <w:jc w:val="both"/>
              <w:rPr>
                <w:rFonts w:ascii="Arial" w:hAnsi="Arial" w:cs="Arial"/>
                <w:szCs w:val="24"/>
                <w:lang w:val="fr-CI"/>
              </w:rPr>
            </w:pPr>
          </w:p>
        </w:tc>
        <w:tc>
          <w:tcPr>
            <w:tcW w:w="2590" w:type="dxa"/>
          </w:tcPr>
          <w:p w:rsidR="00662F57" w:rsidRPr="0026525D" w:rsidRDefault="00662F57" w:rsidP="00AE2F12">
            <w:pPr>
              <w:contextualSpacing/>
              <w:jc w:val="both"/>
              <w:rPr>
                <w:rFonts w:ascii="Arial" w:hAnsi="Arial" w:cs="Arial"/>
                <w:szCs w:val="24"/>
                <w:lang w:val="fr-CI"/>
              </w:rPr>
            </w:pPr>
          </w:p>
        </w:tc>
      </w:tr>
      <w:tr w:rsidR="00075732" w:rsidRPr="00F05C47" w:rsidTr="00175AF3">
        <w:tc>
          <w:tcPr>
            <w:tcW w:w="3114" w:type="dxa"/>
          </w:tcPr>
          <w:p w:rsidR="00075732" w:rsidRPr="0026525D" w:rsidRDefault="00075732" w:rsidP="00AE2F12">
            <w:pPr>
              <w:contextualSpacing/>
              <w:jc w:val="both"/>
              <w:rPr>
                <w:rFonts w:ascii="Arial" w:hAnsi="Arial" w:cs="Arial"/>
                <w:szCs w:val="24"/>
                <w:lang w:val="fr-CI"/>
              </w:rPr>
            </w:pPr>
          </w:p>
        </w:tc>
        <w:tc>
          <w:tcPr>
            <w:tcW w:w="2066" w:type="dxa"/>
          </w:tcPr>
          <w:p w:rsidR="00075732" w:rsidRPr="0026525D" w:rsidRDefault="00075732" w:rsidP="00AE2F12">
            <w:pPr>
              <w:contextualSpacing/>
              <w:jc w:val="both"/>
              <w:rPr>
                <w:rFonts w:ascii="Arial" w:hAnsi="Arial" w:cs="Arial"/>
                <w:szCs w:val="24"/>
                <w:lang w:val="fr-CI"/>
              </w:rPr>
            </w:pPr>
          </w:p>
        </w:tc>
        <w:tc>
          <w:tcPr>
            <w:tcW w:w="2590" w:type="dxa"/>
          </w:tcPr>
          <w:p w:rsidR="00075732" w:rsidRPr="0026525D" w:rsidRDefault="00075732" w:rsidP="00AE2F12">
            <w:pPr>
              <w:contextualSpacing/>
              <w:jc w:val="both"/>
              <w:rPr>
                <w:rFonts w:ascii="Arial" w:hAnsi="Arial" w:cs="Arial"/>
                <w:szCs w:val="24"/>
                <w:lang w:val="fr-CI"/>
              </w:rPr>
            </w:pPr>
          </w:p>
        </w:tc>
        <w:tc>
          <w:tcPr>
            <w:tcW w:w="2590" w:type="dxa"/>
          </w:tcPr>
          <w:p w:rsidR="00075732" w:rsidRPr="0026525D" w:rsidRDefault="00075732" w:rsidP="00AE2F12">
            <w:pPr>
              <w:contextualSpacing/>
              <w:jc w:val="both"/>
              <w:rPr>
                <w:rFonts w:ascii="Arial" w:hAnsi="Arial" w:cs="Arial"/>
                <w:szCs w:val="24"/>
                <w:lang w:val="fr-CI"/>
              </w:rPr>
            </w:pPr>
          </w:p>
        </w:tc>
        <w:tc>
          <w:tcPr>
            <w:tcW w:w="2590" w:type="dxa"/>
          </w:tcPr>
          <w:p w:rsidR="00075732" w:rsidRPr="0026525D" w:rsidRDefault="00075732" w:rsidP="00AE2F12">
            <w:pPr>
              <w:contextualSpacing/>
              <w:jc w:val="both"/>
              <w:rPr>
                <w:rFonts w:ascii="Arial" w:hAnsi="Arial" w:cs="Arial"/>
                <w:szCs w:val="24"/>
                <w:lang w:val="fr-CI"/>
              </w:rPr>
            </w:pPr>
          </w:p>
        </w:tc>
      </w:tr>
      <w:tr w:rsidR="00075732" w:rsidRPr="00F05C47" w:rsidTr="00175AF3">
        <w:tc>
          <w:tcPr>
            <w:tcW w:w="3114" w:type="dxa"/>
          </w:tcPr>
          <w:p w:rsidR="00075732" w:rsidRPr="0026525D" w:rsidRDefault="00075732" w:rsidP="00AE2F12">
            <w:pPr>
              <w:contextualSpacing/>
              <w:jc w:val="both"/>
              <w:rPr>
                <w:rFonts w:ascii="Arial" w:hAnsi="Arial" w:cs="Arial"/>
                <w:szCs w:val="24"/>
                <w:lang w:val="fr-CI"/>
              </w:rPr>
            </w:pPr>
            <w:r w:rsidRPr="0026525D">
              <w:rPr>
                <w:rFonts w:ascii="Arial" w:hAnsi="Arial" w:cs="Arial"/>
                <w:szCs w:val="24"/>
                <w:lang w:val="fr-CI"/>
              </w:rPr>
              <w:t>9. Réseau électronique panafricain sur la télé-éducation et la télémédecine (</w:t>
            </w:r>
            <w:proofErr w:type="spellStart"/>
            <w:r w:rsidRPr="0026525D">
              <w:rPr>
                <w:rFonts w:ascii="Arial" w:hAnsi="Arial" w:cs="Arial"/>
                <w:szCs w:val="24"/>
                <w:lang w:val="fr-CI"/>
              </w:rPr>
              <w:t>PAeN</w:t>
            </w:r>
            <w:proofErr w:type="spellEnd"/>
            <w:r w:rsidRPr="0026525D">
              <w:rPr>
                <w:rFonts w:ascii="Arial" w:hAnsi="Arial" w:cs="Arial"/>
                <w:szCs w:val="24"/>
                <w:lang w:val="fr-CI"/>
              </w:rPr>
              <w:t>)</w:t>
            </w:r>
          </w:p>
          <w:p w:rsidR="00075732" w:rsidRPr="0026525D" w:rsidRDefault="00075732" w:rsidP="00AE2F12">
            <w:pPr>
              <w:contextualSpacing/>
              <w:jc w:val="both"/>
              <w:rPr>
                <w:rFonts w:ascii="Arial" w:hAnsi="Arial" w:cs="Arial"/>
                <w:szCs w:val="24"/>
                <w:lang w:val="fr-CI"/>
              </w:rPr>
            </w:pPr>
          </w:p>
        </w:tc>
        <w:tc>
          <w:tcPr>
            <w:tcW w:w="2066" w:type="dxa"/>
          </w:tcPr>
          <w:p w:rsidR="00075732" w:rsidRPr="0026525D" w:rsidRDefault="00075732" w:rsidP="00AE2F12">
            <w:pPr>
              <w:contextualSpacing/>
              <w:jc w:val="both"/>
              <w:rPr>
                <w:rFonts w:ascii="Arial" w:hAnsi="Arial" w:cs="Arial"/>
                <w:szCs w:val="24"/>
                <w:lang w:val="fr-CI"/>
              </w:rPr>
            </w:pPr>
            <w:r w:rsidRPr="0026525D">
              <w:rPr>
                <w:rFonts w:ascii="Arial" w:hAnsi="Arial" w:cs="Arial"/>
                <w:szCs w:val="24"/>
                <w:lang w:val="fr-CI"/>
              </w:rPr>
              <w:t>Département des ressources humaines, de la science et de la technologie</w:t>
            </w:r>
          </w:p>
        </w:tc>
        <w:tc>
          <w:tcPr>
            <w:tcW w:w="2590" w:type="dxa"/>
          </w:tcPr>
          <w:p w:rsidR="00075732" w:rsidRPr="0026525D" w:rsidRDefault="00075732" w:rsidP="00AE2F12">
            <w:pPr>
              <w:contextualSpacing/>
              <w:jc w:val="both"/>
              <w:rPr>
                <w:rFonts w:ascii="Arial" w:hAnsi="Arial" w:cs="Arial"/>
                <w:szCs w:val="24"/>
                <w:lang w:val="fr-CI"/>
              </w:rPr>
            </w:pPr>
            <w:r w:rsidRPr="0026525D">
              <w:rPr>
                <w:rFonts w:ascii="Arial" w:hAnsi="Arial" w:cs="Arial"/>
                <w:szCs w:val="24"/>
                <w:lang w:val="fr-CI"/>
              </w:rPr>
              <w:t>La Conférence panafricaine des utilisateurs et le Bureau du Comité technique spécialisé sur les technologies de l’information et de la communication se sont réunis du 26 au 28 avril 2016 pour planifier l’exécution du projet et pour mettre en place ses structures de gouvernance après son transfert du gouvernement indien aux parties africaines ; et pour examiner le projet de Déclaration sur la gouvernance de l’Internet.</w:t>
            </w:r>
          </w:p>
        </w:tc>
        <w:tc>
          <w:tcPr>
            <w:tcW w:w="2590" w:type="dxa"/>
          </w:tcPr>
          <w:p w:rsidR="00075732" w:rsidRPr="0026525D" w:rsidRDefault="00075732" w:rsidP="00AE2F12">
            <w:pPr>
              <w:contextualSpacing/>
              <w:jc w:val="both"/>
              <w:rPr>
                <w:rFonts w:ascii="Arial" w:hAnsi="Arial" w:cs="Arial"/>
                <w:szCs w:val="24"/>
                <w:lang w:val="fr-CI"/>
              </w:rPr>
            </w:pPr>
          </w:p>
        </w:tc>
        <w:tc>
          <w:tcPr>
            <w:tcW w:w="2590" w:type="dxa"/>
          </w:tcPr>
          <w:p w:rsidR="00075732" w:rsidRPr="0026525D" w:rsidRDefault="00075732" w:rsidP="00AE2F12">
            <w:pPr>
              <w:contextualSpacing/>
              <w:jc w:val="both"/>
              <w:rPr>
                <w:rFonts w:ascii="Arial" w:hAnsi="Arial" w:cs="Arial"/>
                <w:szCs w:val="24"/>
                <w:lang w:val="fr-CI"/>
              </w:rPr>
            </w:pPr>
            <w:r w:rsidRPr="0026525D">
              <w:rPr>
                <w:rFonts w:ascii="Arial" w:hAnsi="Arial" w:cs="Arial"/>
                <w:szCs w:val="24"/>
                <w:lang w:val="fr-CI"/>
              </w:rPr>
              <w:t>1. Mettre en place les structures de gouvernance et de gestion convenues.</w:t>
            </w:r>
          </w:p>
          <w:p w:rsidR="00075732" w:rsidRPr="0026525D" w:rsidRDefault="00075732" w:rsidP="00AE2F12">
            <w:pPr>
              <w:contextualSpacing/>
              <w:jc w:val="both"/>
              <w:rPr>
                <w:rFonts w:ascii="Arial" w:hAnsi="Arial" w:cs="Arial"/>
                <w:szCs w:val="24"/>
                <w:lang w:val="fr-CI"/>
              </w:rPr>
            </w:pPr>
            <w:r w:rsidRPr="0026525D">
              <w:rPr>
                <w:rFonts w:ascii="Arial" w:hAnsi="Arial" w:cs="Arial"/>
                <w:szCs w:val="24"/>
                <w:lang w:val="fr-CI"/>
              </w:rPr>
              <w:t>2. Passer à l’exécution du transfert, selon qu’il convient.</w:t>
            </w:r>
          </w:p>
        </w:tc>
      </w:tr>
      <w:tr w:rsidR="00E916FD" w:rsidRPr="00F05C47" w:rsidTr="00175AF3">
        <w:tc>
          <w:tcPr>
            <w:tcW w:w="3114" w:type="dxa"/>
          </w:tcPr>
          <w:p w:rsidR="00E916FD" w:rsidRPr="0026525D" w:rsidRDefault="00E916FD" w:rsidP="00AE2F12">
            <w:pPr>
              <w:contextualSpacing/>
              <w:jc w:val="both"/>
              <w:rPr>
                <w:rFonts w:ascii="Arial" w:hAnsi="Arial" w:cs="Arial"/>
                <w:szCs w:val="24"/>
                <w:lang w:val="fr-CI"/>
              </w:rPr>
            </w:pPr>
          </w:p>
        </w:tc>
        <w:tc>
          <w:tcPr>
            <w:tcW w:w="2066"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r>
      <w:tr w:rsidR="00E916FD" w:rsidRPr="00F05C47" w:rsidTr="00175AF3">
        <w:tc>
          <w:tcPr>
            <w:tcW w:w="3114"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10. Création de l’Université virtuelle</w:t>
            </w:r>
          </w:p>
        </w:tc>
        <w:tc>
          <w:tcPr>
            <w:tcW w:w="2066"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Département des ressources humaines, de la science et de la technologie</w:t>
            </w:r>
          </w:p>
        </w:tc>
        <w:tc>
          <w:tcPr>
            <w:tcW w:w="2590"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 xml:space="preserve">Les efforts ont continué à être axés sur l’élaboration d’une structure de dotation en personnel et sur </w:t>
            </w:r>
            <w:r w:rsidRPr="0026525D">
              <w:rPr>
                <w:rFonts w:ascii="Arial" w:hAnsi="Arial" w:cs="Arial"/>
                <w:szCs w:val="24"/>
                <w:lang w:val="fr-CI"/>
              </w:rPr>
              <w:lastRenderedPageBreak/>
              <w:t>l’élaboration d’un de cadre de projet provisoire (plan stratégique).</w:t>
            </w: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r>
      <w:tr w:rsidR="00E916FD" w:rsidRPr="00F05C47" w:rsidTr="00175AF3">
        <w:tc>
          <w:tcPr>
            <w:tcW w:w="3114" w:type="dxa"/>
          </w:tcPr>
          <w:p w:rsidR="00E916FD" w:rsidRPr="0026525D" w:rsidRDefault="00E916FD" w:rsidP="00AE2F12">
            <w:pPr>
              <w:contextualSpacing/>
              <w:jc w:val="both"/>
              <w:rPr>
                <w:rFonts w:ascii="Arial" w:hAnsi="Arial" w:cs="Arial"/>
                <w:szCs w:val="24"/>
                <w:lang w:val="fr-CI"/>
              </w:rPr>
            </w:pPr>
          </w:p>
        </w:tc>
        <w:tc>
          <w:tcPr>
            <w:tcW w:w="2066"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r>
      <w:tr w:rsidR="00E916FD" w:rsidRPr="00F05C47" w:rsidTr="00175AF3">
        <w:tc>
          <w:tcPr>
            <w:tcW w:w="3114"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11. Libre circulation des personnes et passeport africain</w:t>
            </w:r>
          </w:p>
        </w:tc>
        <w:tc>
          <w:tcPr>
            <w:tcW w:w="2066"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Département des affaires politiques</w:t>
            </w:r>
          </w:p>
        </w:tc>
        <w:tc>
          <w:tcPr>
            <w:tcW w:w="2590"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Les consultations se sont poursuivies, notamment avec les États membres, pour élaborer et valider un protocole de l’UA sur la libre circulation en Afrique. Le sommet de Kigali a vu l’inauguration du passeport africain.</w:t>
            </w: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r>
      <w:tr w:rsidR="00E916FD" w:rsidRPr="00F05C47" w:rsidTr="00175AF3">
        <w:tc>
          <w:tcPr>
            <w:tcW w:w="3114" w:type="dxa"/>
          </w:tcPr>
          <w:p w:rsidR="00E916FD" w:rsidRPr="0026525D" w:rsidRDefault="00E916FD" w:rsidP="00AE2F12">
            <w:pPr>
              <w:contextualSpacing/>
              <w:jc w:val="both"/>
              <w:rPr>
                <w:rFonts w:ascii="Arial" w:hAnsi="Arial" w:cs="Arial"/>
                <w:szCs w:val="24"/>
                <w:lang w:val="fr-CI"/>
              </w:rPr>
            </w:pPr>
          </w:p>
        </w:tc>
        <w:tc>
          <w:tcPr>
            <w:tcW w:w="2066"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E916FD" w:rsidP="00AE2F12">
            <w:pPr>
              <w:contextualSpacing/>
              <w:jc w:val="both"/>
              <w:rPr>
                <w:rFonts w:ascii="Arial" w:hAnsi="Arial" w:cs="Arial"/>
                <w:szCs w:val="24"/>
                <w:lang w:val="fr-CI"/>
              </w:rPr>
            </w:pPr>
          </w:p>
        </w:tc>
      </w:tr>
      <w:tr w:rsidR="00E916FD" w:rsidRPr="00F05C47" w:rsidTr="00175AF3">
        <w:tc>
          <w:tcPr>
            <w:tcW w:w="3114"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12. Négociations sur la Zone de libre-échange continentale</w:t>
            </w:r>
          </w:p>
        </w:tc>
        <w:tc>
          <w:tcPr>
            <w:tcW w:w="2066" w:type="dxa"/>
          </w:tcPr>
          <w:p w:rsidR="00E916FD" w:rsidRPr="0026525D" w:rsidRDefault="00E916FD" w:rsidP="00AE2F12">
            <w:pPr>
              <w:contextualSpacing/>
              <w:jc w:val="both"/>
              <w:rPr>
                <w:rFonts w:ascii="Arial" w:hAnsi="Arial" w:cs="Arial"/>
                <w:szCs w:val="24"/>
                <w:lang w:val="fr-CI"/>
              </w:rPr>
            </w:pPr>
            <w:r w:rsidRPr="0026525D">
              <w:rPr>
                <w:rFonts w:ascii="Arial" w:hAnsi="Arial" w:cs="Arial"/>
                <w:szCs w:val="24"/>
                <w:lang w:val="fr-CI"/>
              </w:rPr>
              <w:t>Département du commerce et de l’industrie</w:t>
            </w:r>
          </w:p>
        </w:tc>
        <w:tc>
          <w:tcPr>
            <w:tcW w:w="2590" w:type="dxa"/>
          </w:tcPr>
          <w:p w:rsidR="00E916FD" w:rsidRPr="0026525D" w:rsidRDefault="00B860A2" w:rsidP="00AE2F12">
            <w:pPr>
              <w:contextualSpacing/>
              <w:jc w:val="both"/>
              <w:rPr>
                <w:rFonts w:ascii="Arial" w:hAnsi="Arial" w:cs="Arial"/>
                <w:szCs w:val="24"/>
                <w:lang w:val="fr-CI"/>
              </w:rPr>
            </w:pPr>
            <w:r w:rsidRPr="0026525D">
              <w:rPr>
                <w:rFonts w:ascii="Arial" w:hAnsi="Arial" w:cs="Arial"/>
                <w:szCs w:val="24"/>
                <w:lang w:val="fr-CI"/>
              </w:rPr>
              <w:t>Les négociations pour la création d’une Zone de libre-échanges continentale dans le cadre du Forum</w:t>
            </w:r>
            <w:r w:rsidR="00750DF1" w:rsidRPr="0026525D">
              <w:rPr>
                <w:rFonts w:ascii="Arial" w:hAnsi="Arial" w:cs="Arial"/>
                <w:szCs w:val="24"/>
                <w:lang w:val="fr-CI"/>
              </w:rPr>
              <w:t xml:space="preserve"> de négociation</w:t>
            </w:r>
            <w:r w:rsidRPr="0026525D">
              <w:rPr>
                <w:rFonts w:ascii="Arial" w:hAnsi="Arial" w:cs="Arial"/>
                <w:szCs w:val="24"/>
                <w:lang w:val="fr-CI"/>
              </w:rPr>
              <w:t xml:space="preserve"> de la ZLEC (FN-ZLEC) se sont poursuivies.</w:t>
            </w:r>
          </w:p>
        </w:tc>
        <w:tc>
          <w:tcPr>
            <w:tcW w:w="2590" w:type="dxa"/>
          </w:tcPr>
          <w:p w:rsidR="00E916FD" w:rsidRPr="0026525D" w:rsidRDefault="00E916FD" w:rsidP="00AE2F12">
            <w:pPr>
              <w:contextualSpacing/>
              <w:jc w:val="both"/>
              <w:rPr>
                <w:rFonts w:ascii="Arial" w:hAnsi="Arial" w:cs="Arial"/>
                <w:szCs w:val="24"/>
                <w:lang w:val="fr-CI"/>
              </w:rPr>
            </w:pPr>
          </w:p>
        </w:tc>
        <w:tc>
          <w:tcPr>
            <w:tcW w:w="2590" w:type="dxa"/>
          </w:tcPr>
          <w:p w:rsidR="00E916FD" w:rsidRPr="0026525D" w:rsidRDefault="00B860A2" w:rsidP="00AE2F12">
            <w:pPr>
              <w:contextualSpacing/>
              <w:jc w:val="both"/>
              <w:rPr>
                <w:rFonts w:ascii="Arial" w:hAnsi="Arial" w:cs="Arial"/>
                <w:szCs w:val="24"/>
                <w:lang w:val="fr-CI"/>
              </w:rPr>
            </w:pPr>
            <w:r w:rsidRPr="0026525D">
              <w:rPr>
                <w:rFonts w:ascii="Arial" w:hAnsi="Arial" w:cs="Arial"/>
                <w:szCs w:val="24"/>
                <w:lang w:val="fr-CI"/>
              </w:rPr>
              <w:t>Les négociations devraient se poursuivre.</w:t>
            </w:r>
          </w:p>
        </w:tc>
      </w:tr>
      <w:tr w:rsidR="00B860A2" w:rsidRPr="00F05C47" w:rsidTr="00175AF3">
        <w:tc>
          <w:tcPr>
            <w:tcW w:w="3114" w:type="dxa"/>
          </w:tcPr>
          <w:p w:rsidR="00B860A2" w:rsidRPr="0026525D" w:rsidRDefault="00B860A2" w:rsidP="00AE2F12">
            <w:pPr>
              <w:contextualSpacing/>
              <w:jc w:val="both"/>
              <w:rPr>
                <w:rFonts w:ascii="Arial" w:hAnsi="Arial" w:cs="Arial"/>
                <w:szCs w:val="24"/>
                <w:lang w:val="fr-CI"/>
              </w:rPr>
            </w:pPr>
          </w:p>
        </w:tc>
        <w:tc>
          <w:tcPr>
            <w:tcW w:w="2066" w:type="dxa"/>
          </w:tcPr>
          <w:p w:rsidR="00B860A2" w:rsidRPr="0026525D" w:rsidRDefault="00B860A2" w:rsidP="00AE2F12">
            <w:pPr>
              <w:contextualSpacing/>
              <w:jc w:val="both"/>
              <w:rPr>
                <w:rFonts w:ascii="Arial" w:hAnsi="Arial" w:cs="Arial"/>
                <w:szCs w:val="24"/>
                <w:lang w:val="fr-CI"/>
              </w:rPr>
            </w:pPr>
          </w:p>
        </w:tc>
        <w:tc>
          <w:tcPr>
            <w:tcW w:w="2590" w:type="dxa"/>
          </w:tcPr>
          <w:p w:rsidR="00B860A2" w:rsidRPr="0026525D" w:rsidRDefault="00B860A2" w:rsidP="00AE2F12">
            <w:pPr>
              <w:contextualSpacing/>
              <w:jc w:val="both"/>
              <w:rPr>
                <w:rFonts w:ascii="Arial" w:hAnsi="Arial" w:cs="Arial"/>
                <w:szCs w:val="24"/>
                <w:lang w:val="fr-CI"/>
              </w:rPr>
            </w:pPr>
          </w:p>
        </w:tc>
        <w:tc>
          <w:tcPr>
            <w:tcW w:w="2590" w:type="dxa"/>
          </w:tcPr>
          <w:p w:rsidR="00B860A2" w:rsidRPr="0026525D" w:rsidRDefault="00B860A2" w:rsidP="00AE2F12">
            <w:pPr>
              <w:contextualSpacing/>
              <w:jc w:val="both"/>
              <w:rPr>
                <w:rFonts w:ascii="Arial" w:hAnsi="Arial" w:cs="Arial"/>
                <w:szCs w:val="24"/>
                <w:lang w:val="fr-CI"/>
              </w:rPr>
            </w:pPr>
          </w:p>
        </w:tc>
        <w:tc>
          <w:tcPr>
            <w:tcW w:w="2590" w:type="dxa"/>
          </w:tcPr>
          <w:p w:rsidR="00B860A2" w:rsidRPr="0026525D" w:rsidRDefault="00B860A2" w:rsidP="00AE2F12">
            <w:pPr>
              <w:contextualSpacing/>
              <w:jc w:val="both"/>
              <w:rPr>
                <w:rFonts w:ascii="Arial" w:hAnsi="Arial" w:cs="Arial"/>
                <w:szCs w:val="24"/>
                <w:lang w:val="fr-CI"/>
              </w:rPr>
            </w:pPr>
          </w:p>
        </w:tc>
      </w:tr>
      <w:tr w:rsidR="00B860A2" w:rsidRPr="00F05C47" w:rsidTr="00175AF3">
        <w:tc>
          <w:tcPr>
            <w:tcW w:w="3114" w:type="dxa"/>
          </w:tcPr>
          <w:p w:rsidR="00B860A2" w:rsidRPr="0026525D" w:rsidRDefault="00B860A2" w:rsidP="00AE2F12">
            <w:pPr>
              <w:contextualSpacing/>
              <w:jc w:val="both"/>
              <w:rPr>
                <w:rFonts w:ascii="Arial" w:hAnsi="Arial" w:cs="Arial"/>
                <w:szCs w:val="24"/>
                <w:lang w:val="fr-CI"/>
              </w:rPr>
            </w:pPr>
            <w:r w:rsidRPr="0026525D">
              <w:rPr>
                <w:rFonts w:ascii="Arial" w:hAnsi="Arial" w:cs="Arial"/>
                <w:szCs w:val="24"/>
                <w:lang w:val="fr-CI"/>
              </w:rPr>
              <w:t xml:space="preserve">13 Grand </w:t>
            </w:r>
            <w:r w:rsidR="004366FD" w:rsidRPr="0026525D">
              <w:rPr>
                <w:rFonts w:ascii="Arial" w:hAnsi="Arial" w:cs="Arial"/>
                <w:szCs w:val="24"/>
                <w:lang w:val="fr-CI"/>
              </w:rPr>
              <w:t>M</w:t>
            </w:r>
            <w:r w:rsidRPr="0026525D">
              <w:rPr>
                <w:rFonts w:ascii="Arial" w:hAnsi="Arial" w:cs="Arial"/>
                <w:szCs w:val="24"/>
                <w:lang w:val="fr-CI"/>
              </w:rPr>
              <w:t>usée d’Afrique</w:t>
            </w:r>
          </w:p>
        </w:tc>
        <w:tc>
          <w:tcPr>
            <w:tcW w:w="2066" w:type="dxa"/>
          </w:tcPr>
          <w:p w:rsidR="00B860A2" w:rsidRPr="0026525D" w:rsidRDefault="00B860A2" w:rsidP="00AE2F12">
            <w:pPr>
              <w:contextualSpacing/>
              <w:jc w:val="both"/>
              <w:rPr>
                <w:rFonts w:ascii="Arial" w:hAnsi="Arial" w:cs="Arial"/>
                <w:szCs w:val="24"/>
                <w:lang w:val="fr-CI"/>
              </w:rPr>
            </w:pPr>
            <w:r w:rsidRPr="0026525D">
              <w:rPr>
                <w:rFonts w:ascii="Arial" w:hAnsi="Arial" w:cs="Arial"/>
                <w:szCs w:val="24"/>
                <w:lang w:val="fr-CI"/>
              </w:rPr>
              <w:t>Département des affaires sociales</w:t>
            </w:r>
          </w:p>
        </w:tc>
        <w:tc>
          <w:tcPr>
            <w:tcW w:w="2590" w:type="dxa"/>
          </w:tcPr>
          <w:p w:rsidR="00B860A2" w:rsidRPr="0026525D" w:rsidRDefault="00B860A2" w:rsidP="00AE2F12">
            <w:pPr>
              <w:contextualSpacing/>
              <w:jc w:val="both"/>
              <w:rPr>
                <w:rFonts w:ascii="Arial" w:hAnsi="Arial" w:cs="Arial"/>
                <w:szCs w:val="24"/>
                <w:lang w:val="fr-CI"/>
              </w:rPr>
            </w:pPr>
            <w:r w:rsidRPr="0026525D">
              <w:rPr>
                <w:rFonts w:ascii="Arial" w:hAnsi="Arial" w:cs="Arial"/>
                <w:szCs w:val="24"/>
                <w:lang w:val="fr-CI"/>
              </w:rPr>
              <w:t>Après l’adoption du projet comme un des projets phares lors du sommet de Kigali, la CUA travaille avec l’Algérie, qui abrite le projet, afin d’élaborer un plan d’action.</w:t>
            </w:r>
          </w:p>
        </w:tc>
        <w:tc>
          <w:tcPr>
            <w:tcW w:w="2590" w:type="dxa"/>
          </w:tcPr>
          <w:p w:rsidR="00B860A2" w:rsidRPr="0026525D" w:rsidRDefault="00B860A2" w:rsidP="00AE2F12">
            <w:pPr>
              <w:contextualSpacing/>
              <w:jc w:val="both"/>
              <w:rPr>
                <w:rFonts w:ascii="Arial" w:hAnsi="Arial" w:cs="Arial"/>
                <w:szCs w:val="24"/>
                <w:lang w:val="fr-CI"/>
              </w:rPr>
            </w:pPr>
          </w:p>
        </w:tc>
        <w:tc>
          <w:tcPr>
            <w:tcW w:w="2590" w:type="dxa"/>
          </w:tcPr>
          <w:p w:rsidR="00B860A2" w:rsidRPr="0026525D" w:rsidRDefault="00B860A2" w:rsidP="00AE2F12">
            <w:pPr>
              <w:contextualSpacing/>
              <w:jc w:val="both"/>
              <w:rPr>
                <w:rFonts w:ascii="Arial" w:hAnsi="Arial" w:cs="Arial"/>
                <w:szCs w:val="24"/>
                <w:lang w:val="fr-CI"/>
              </w:rPr>
            </w:pPr>
            <w:r w:rsidRPr="0026525D">
              <w:rPr>
                <w:rFonts w:ascii="Arial" w:hAnsi="Arial" w:cs="Arial"/>
                <w:szCs w:val="24"/>
                <w:lang w:val="fr-CI"/>
              </w:rPr>
              <w:t>Les consultations continueront d’accélérer la mise en œuvre du projet.</w:t>
            </w:r>
          </w:p>
        </w:tc>
      </w:tr>
    </w:tbl>
    <w:p w:rsidR="00CE063F" w:rsidRPr="004366FD" w:rsidRDefault="00CE063F" w:rsidP="00AE2F12">
      <w:pPr>
        <w:spacing w:after="0" w:line="240" w:lineRule="auto"/>
        <w:contextualSpacing/>
        <w:jc w:val="both"/>
        <w:rPr>
          <w:rFonts w:ascii="Arial" w:hAnsi="Arial" w:cs="Arial"/>
          <w:sz w:val="4"/>
          <w:szCs w:val="24"/>
          <w:lang w:val="fr-CI"/>
        </w:rPr>
      </w:pPr>
    </w:p>
    <w:sectPr w:rsidR="00CE063F" w:rsidRPr="004366FD" w:rsidSect="00B87E0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7E" w:rsidRDefault="00F73A7E">
      <w:pPr>
        <w:spacing w:after="0" w:line="240" w:lineRule="auto"/>
      </w:pPr>
      <w:r>
        <w:separator/>
      </w:r>
    </w:p>
  </w:endnote>
  <w:endnote w:type="continuationSeparator" w:id="0">
    <w:p w:rsidR="00F73A7E" w:rsidRDefault="00F7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DD" w:rsidRDefault="004254DD" w:rsidP="00F174E1">
    <w:pPr>
      <w:pStyle w:val="Footer"/>
      <w:pBdr>
        <w:top w:val="thinThickSmallGap" w:sz="24" w:space="1" w:color="622423"/>
      </w:pBdr>
      <w:tabs>
        <w:tab w:val="clear" w:pos="4680"/>
        <w:tab w:val="clear" w:pos="9360"/>
        <w:tab w:val="right" w:pos="8306"/>
      </w:tabs>
      <w:rPr>
        <w:rFonts w:ascii="Cambria" w:hAnsi="Cambria"/>
      </w:rPr>
    </w:pPr>
    <w:r>
      <w:rPr>
        <w:rFonts w:ascii="Cambria" w:hAnsi="Cambria"/>
      </w:rPr>
      <w:tab/>
      <w:t xml:space="preserve">Page </w:t>
    </w:r>
    <w:r>
      <w:rPr>
        <w:rFonts w:ascii="Calibri" w:hAnsi="Calibri"/>
      </w:rPr>
      <w:fldChar w:fldCharType="begin"/>
    </w:r>
    <w:r>
      <w:instrText xml:space="preserve"> PAGE   \* MERGEFORMAT </w:instrText>
    </w:r>
    <w:r>
      <w:rPr>
        <w:rFonts w:ascii="Calibri" w:hAnsi="Calibri"/>
      </w:rPr>
      <w:fldChar w:fldCharType="separate"/>
    </w:r>
    <w:r w:rsidR="00F05C47" w:rsidRPr="00F05C47">
      <w:rPr>
        <w:rFonts w:ascii="Cambria" w:hAnsi="Cambria"/>
        <w:noProof/>
      </w:rPr>
      <w:t>4</w:t>
    </w:r>
    <w:r>
      <w:rPr>
        <w:rFonts w:ascii="Cambria" w:hAnsi="Cambria"/>
        <w:noProof/>
      </w:rPr>
      <w:fldChar w:fldCharType="end"/>
    </w:r>
  </w:p>
  <w:p w:rsidR="004254DD" w:rsidRDefault="00425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DD" w:rsidRDefault="004254DD" w:rsidP="00F174E1">
    <w:pPr>
      <w:pStyle w:val="Footer"/>
      <w:pBdr>
        <w:top w:val="thinThickSmallGap" w:sz="24" w:space="1" w:color="622423"/>
      </w:pBdr>
      <w:tabs>
        <w:tab w:val="clear" w:pos="4680"/>
        <w:tab w:val="clear" w:pos="9360"/>
        <w:tab w:val="right" w:pos="8306"/>
      </w:tabs>
      <w:rPr>
        <w:rFonts w:ascii="Cambria" w:hAnsi="Cambria"/>
      </w:rPr>
    </w:pPr>
  </w:p>
  <w:p w:rsidR="004254DD" w:rsidRDefault="00425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7E" w:rsidRDefault="00F73A7E">
      <w:pPr>
        <w:spacing w:after="0" w:line="240" w:lineRule="auto"/>
      </w:pPr>
      <w:r>
        <w:separator/>
      </w:r>
    </w:p>
  </w:footnote>
  <w:footnote w:type="continuationSeparator" w:id="0">
    <w:p w:rsidR="00F73A7E" w:rsidRDefault="00F73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36516347"/>
      <w:docPartObj>
        <w:docPartGallery w:val="Page Numbers (Top of Page)"/>
        <w:docPartUnique/>
      </w:docPartObj>
    </w:sdtPr>
    <w:sdtEndPr>
      <w:rPr>
        <w:b/>
        <w:noProof/>
      </w:rPr>
    </w:sdtEndPr>
    <w:sdtContent>
      <w:p w:rsidR="004254DD" w:rsidRPr="0026525D" w:rsidRDefault="004254DD">
        <w:pPr>
          <w:pStyle w:val="Header"/>
          <w:jc w:val="right"/>
          <w:rPr>
            <w:rFonts w:ascii="Arial" w:hAnsi="Arial" w:cs="Arial"/>
            <w:b/>
          </w:rPr>
        </w:pPr>
        <w:r w:rsidRPr="0026525D">
          <w:rPr>
            <w:rFonts w:ascii="Arial" w:hAnsi="Arial" w:cs="Arial"/>
            <w:b/>
          </w:rPr>
          <w:t xml:space="preserve">Page </w:t>
        </w:r>
        <w:r w:rsidRPr="0026525D">
          <w:rPr>
            <w:rFonts w:ascii="Arial" w:hAnsi="Arial" w:cs="Arial"/>
            <w:b/>
          </w:rPr>
          <w:fldChar w:fldCharType="begin"/>
        </w:r>
        <w:r w:rsidRPr="0026525D">
          <w:rPr>
            <w:rFonts w:ascii="Arial" w:hAnsi="Arial" w:cs="Arial"/>
            <w:b/>
          </w:rPr>
          <w:instrText xml:space="preserve"> PAGE   \* MERGEFORMAT </w:instrText>
        </w:r>
        <w:r w:rsidRPr="0026525D">
          <w:rPr>
            <w:rFonts w:ascii="Arial" w:hAnsi="Arial" w:cs="Arial"/>
            <w:b/>
          </w:rPr>
          <w:fldChar w:fldCharType="separate"/>
        </w:r>
        <w:r w:rsidR="00F05C47">
          <w:rPr>
            <w:rFonts w:ascii="Arial" w:hAnsi="Arial" w:cs="Arial"/>
            <w:b/>
            <w:noProof/>
          </w:rPr>
          <w:t>20</w:t>
        </w:r>
        <w:r w:rsidRPr="0026525D">
          <w:rPr>
            <w:rFonts w:ascii="Arial" w:hAnsi="Arial" w:cs="Arial"/>
            <w:b/>
            <w:noProof/>
          </w:rPr>
          <w:fldChar w:fldCharType="end"/>
        </w:r>
      </w:p>
    </w:sdtContent>
  </w:sdt>
  <w:p w:rsidR="004254DD" w:rsidRDefault="00425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226"/>
    <w:multiLevelType w:val="hybridMultilevel"/>
    <w:tmpl w:val="AF480B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5633B"/>
    <w:multiLevelType w:val="hybridMultilevel"/>
    <w:tmpl w:val="933E45F0"/>
    <w:lvl w:ilvl="0" w:tplc="53A6644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84F39"/>
    <w:multiLevelType w:val="hybridMultilevel"/>
    <w:tmpl w:val="2D02F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9845CE"/>
    <w:multiLevelType w:val="multilevel"/>
    <w:tmpl w:val="634CED7A"/>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0A940657"/>
    <w:multiLevelType w:val="hybridMultilevel"/>
    <w:tmpl w:val="B908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E0760"/>
    <w:multiLevelType w:val="hybridMultilevel"/>
    <w:tmpl w:val="85C09CC6"/>
    <w:lvl w:ilvl="0" w:tplc="C436F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44158"/>
    <w:multiLevelType w:val="hybridMultilevel"/>
    <w:tmpl w:val="82CAE6A0"/>
    <w:lvl w:ilvl="0" w:tplc="EA8231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D32A9A"/>
    <w:multiLevelType w:val="hybridMultilevel"/>
    <w:tmpl w:val="BA9CAABE"/>
    <w:lvl w:ilvl="0" w:tplc="20A602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D55AF1"/>
    <w:multiLevelType w:val="hybridMultilevel"/>
    <w:tmpl w:val="C736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65DFB"/>
    <w:multiLevelType w:val="hybridMultilevel"/>
    <w:tmpl w:val="B2B8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156A1"/>
    <w:multiLevelType w:val="hybridMultilevel"/>
    <w:tmpl w:val="83642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74CBE"/>
    <w:multiLevelType w:val="hybridMultilevel"/>
    <w:tmpl w:val="033C648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962854"/>
    <w:multiLevelType w:val="hybridMultilevel"/>
    <w:tmpl w:val="B5E22C72"/>
    <w:lvl w:ilvl="0" w:tplc="551C8238">
      <w:start w:val="1"/>
      <w:numFmt w:val="low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07097"/>
    <w:multiLevelType w:val="hybridMultilevel"/>
    <w:tmpl w:val="0E9CCF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32021F"/>
    <w:multiLevelType w:val="hybridMultilevel"/>
    <w:tmpl w:val="7856202A"/>
    <w:lvl w:ilvl="0" w:tplc="0409000D">
      <w:start w:val="1"/>
      <w:numFmt w:val="bullet"/>
      <w:lvlText w:val=""/>
      <w:lvlJc w:val="left"/>
      <w:pPr>
        <w:ind w:left="1080" w:hanging="360"/>
      </w:pPr>
      <w:rPr>
        <w:rFonts w:ascii="Wingdings" w:hAnsi="Wingdings" w:hint="default"/>
      </w:rPr>
    </w:lvl>
    <w:lvl w:ilvl="1" w:tplc="46E41814">
      <w:numFmt w:val="bullet"/>
      <w:lvlText w:val="•"/>
      <w:lvlJc w:val="left"/>
      <w:pPr>
        <w:ind w:left="2160" w:hanging="72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2D0696"/>
    <w:multiLevelType w:val="hybridMultilevel"/>
    <w:tmpl w:val="35CC2DDC"/>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B8285BE4">
      <w:start w:val="1"/>
      <w:numFmt w:val="upperRoman"/>
      <w:lvlText w:val="%3)"/>
      <w:lvlJc w:val="left"/>
      <w:pPr>
        <w:ind w:left="2700" w:hanging="720"/>
      </w:pPr>
      <w:rPr>
        <w:rFonts w:hint="default"/>
        <w:u w:val="single"/>
      </w:rPr>
    </w:lvl>
    <w:lvl w:ilvl="3" w:tplc="ACC8293E">
      <w:start w:val="1"/>
      <w:numFmt w:val="lowerLetter"/>
      <w:lvlText w:val="%4)"/>
      <w:lvlJc w:val="left"/>
      <w:pPr>
        <w:ind w:left="2880" w:hanging="360"/>
      </w:pPr>
      <w:rPr>
        <w:rFonts w:hint="default"/>
      </w:rPr>
    </w:lvl>
    <w:lvl w:ilvl="4" w:tplc="DA90632C">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A75C1"/>
    <w:multiLevelType w:val="hybridMultilevel"/>
    <w:tmpl w:val="440E3DBA"/>
    <w:lvl w:ilvl="0" w:tplc="F58A4E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262423"/>
    <w:multiLevelType w:val="hybridMultilevel"/>
    <w:tmpl w:val="2D7688C8"/>
    <w:lvl w:ilvl="0" w:tplc="67F6D5C0">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611B34"/>
    <w:multiLevelType w:val="hybridMultilevel"/>
    <w:tmpl w:val="BE1CA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66AB4"/>
    <w:multiLevelType w:val="multilevel"/>
    <w:tmpl w:val="17C662E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6901B89"/>
    <w:multiLevelType w:val="hybridMultilevel"/>
    <w:tmpl w:val="00D8B66A"/>
    <w:lvl w:ilvl="0" w:tplc="B0A8D10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E618FD"/>
    <w:multiLevelType w:val="hybridMultilevel"/>
    <w:tmpl w:val="F7F06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35B7B"/>
    <w:multiLevelType w:val="hybridMultilevel"/>
    <w:tmpl w:val="EA3E04A8"/>
    <w:lvl w:ilvl="0" w:tplc="CD2EFE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F9535F"/>
    <w:multiLevelType w:val="hybridMultilevel"/>
    <w:tmpl w:val="5DDAE8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E31198"/>
    <w:multiLevelType w:val="multilevel"/>
    <w:tmpl w:val="FFB0D0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4CB126D"/>
    <w:multiLevelType w:val="hybridMultilevel"/>
    <w:tmpl w:val="82CAE6A0"/>
    <w:lvl w:ilvl="0" w:tplc="EA8231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213F58"/>
    <w:multiLevelType w:val="hybridMultilevel"/>
    <w:tmpl w:val="544C52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C0073A"/>
    <w:multiLevelType w:val="hybridMultilevel"/>
    <w:tmpl w:val="521A2802"/>
    <w:lvl w:ilvl="0" w:tplc="9766C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F3904"/>
    <w:multiLevelType w:val="hybridMultilevel"/>
    <w:tmpl w:val="14D48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CC0D54"/>
    <w:multiLevelType w:val="hybridMultilevel"/>
    <w:tmpl w:val="26C6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57CE3"/>
    <w:multiLevelType w:val="hybridMultilevel"/>
    <w:tmpl w:val="CE6E0C30"/>
    <w:lvl w:ilvl="0" w:tplc="38C2BB6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A91E88"/>
    <w:multiLevelType w:val="multilevel"/>
    <w:tmpl w:val="784EE8FE"/>
    <w:lvl w:ilvl="0">
      <w:start w:val="1"/>
      <w:numFmt w:val="decimal"/>
      <w:lvlText w:val="%1."/>
      <w:lvlJc w:val="left"/>
      <w:pPr>
        <w:ind w:left="36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nsid w:val="7C0930AF"/>
    <w:multiLevelType w:val="hybridMultilevel"/>
    <w:tmpl w:val="E424D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CA529B6"/>
    <w:multiLevelType w:val="hybridMultilevel"/>
    <w:tmpl w:val="EFF0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CCC0286"/>
    <w:multiLevelType w:val="hybridMultilevel"/>
    <w:tmpl w:val="B43A9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
  </w:num>
  <w:num w:numId="4">
    <w:abstractNumId w:val="26"/>
  </w:num>
  <w:num w:numId="5">
    <w:abstractNumId w:val="18"/>
  </w:num>
  <w:num w:numId="6">
    <w:abstractNumId w:val="31"/>
  </w:num>
  <w:num w:numId="7">
    <w:abstractNumId w:val="11"/>
  </w:num>
  <w:num w:numId="8">
    <w:abstractNumId w:val="14"/>
  </w:num>
  <w:num w:numId="9">
    <w:abstractNumId w:val="20"/>
  </w:num>
  <w:num w:numId="10">
    <w:abstractNumId w:val="0"/>
  </w:num>
  <w:num w:numId="11">
    <w:abstractNumId w:val="12"/>
  </w:num>
  <w:num w:numId="12">
    <w:abstractNumId w:val="1"/>
  </w:num>
  <w:num w:numId="13">
    <w:abstractNumId w:val="32"/>
  </w:num>
  <w:num w:numId="14">
    <w:abstractNumId w:val="22"/>
  </w:num>
  <w:num w:numId="15">
    <w:abstractNumId w:val="3"/>
  </w:num>
  <w:num w:numId="16">
    <w:abstractNumId w:val="6"/>
  </w:num>
  <w:num w:numId="17">
    <w:abstractNumId w:val="25"/>
  </w:num>
  <w:num w:numId="18">
    <w:abstractNumId w:val="15"/>
  </w:num>
  <w:num w:numId="19">
    <w:abstractNumId w:val="29"/>
  </w:num>
  <w:num w:numId="20">
    <w:abstractNumId w:val="4"/>
  </w:num>
  <w:num w:numId="21">
    <w:abstractNumId w:val="28"/>
  </w:num>
  <w:num w:numId="22">
    <w:abstractNumId w:val="23"/>
  </w:num>
  <w:num w:numId="23">
    <w:abstractNumId w:val="13"/>
  </w:num>
  <w:num w:numId="24">
    <w:abstractNumId w:val="17"/>
  </w:num>
  <w:num w:numId="25">
    <w:abstractNumId w:val="30"/>
  </w:num>
  <w:num w:numId="26">
    <w:abstractNumId w:val="24"/>
  </w:num>
  <w:num w:numId="27">
    <w:abstractNumId w:val="21"/>
  </w:num>
  <w:num w:numId="28">
    <w:abstractNumId w:val="27"/>
  </w:num>
  <w:num w:numId="29">
    <w:abstractNumId w:val="10"/>
  </w:num>
  <w:num w:numId="30">
    <w:abstractNumId w:val="5"/>
  </w:num>
  <w:num w:numId="31">
    <w:abstractNumId w:val="8"/>
  </w:num>
  <w:num w:numId="32">
    <w:abstractNumId w:val="34"/>
  </w:num>
  <w:num w:numId="33">
    <w:abstractNumId w:val="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2F"/>
    <w:rsid w:val="00013D2F"/>
    <w:rsid w:val="0003042D"/>
    <w:rsid w:val="00066D96"/>
    <w:rsid w:val="00075732"/>
    <w:rsid w:val="00096453"/>
    <w:rsid w:val="000C5C0A"/>
    <w:rsid w:val="000F5567"/>
    <w:rsid w:val="0014177E"/>
    <w:rsid w:val="0015395C"/>
    <w:rsid w:val="001610D1"/>
    <w:rsid w:val="001642C8"/>
    <w:rsid w:val="00175AF3"/>
    <w:rsid w:val="0018095C"/>
    <w:rsid w:val="001908D3"/>
    <w:rsid w:val="00190EDB"/>
    <w:rsid w:val="00193318"/>
    <w:rsid w:val="001C3A0B"/>
    <w:rsid w:val="001E0674"/>
    <w:rsid w:val="001F7A73"/>
    <w:rsid w:val="00245F41"/>
    <w:rsid w:val="00254AE0"/>
    <w:rsid w:val="0026525D"/>
    <w:rsid w:val="00286D21"/>
    <w:rsid w:val="00290DB8"/>
    <w:rsid w:val="002C7321"/>
    <w:rsid w:val="002E1AE3"/>
    <w:rsid w:val="002F645D"/>
    <w:rsid w:val="00331E1D"/>
    <w:rsid w:val="003657FC"/>
    <w:rsid w:val="00376D3A"/>
    <w:rsid w:val="003A5329"/>
    <w:rsid w:val="003B7527"/>
    <w:rsid w:val="003C36C2"/>
    <w:rsid w:val="003D4DF2"/>
    <w:rsid w:val="003D7D69"/>
    <w:rsid w:val="003F2F20"/>
    <w:rsid w:val="0040081A"/>
    <w:rsid w:val="00422643"/>
    <w:rsid w:val="004254DD"/>
    <w:rsid w:val="00434012"/>
    <w:rsid w:val="004366FD"/>
    <w:rsid w:val="00443D67"/>
    <w:rsid w:val="0047125E"/>
    <w:rsid w:val="00494958"/>
    <w:rsid w:val="004A6CAC"/>
    <w:rsid w:val="004B3281"/>
    <w:rsid w:val="004C6799"/>
    <w:rsid w:val="004C7DDF"/>
    <w:rsid w:val="004F442F"/>
    <w:rsid w:val="00523FBC"/>
    <w:rsid w:val="00554090"/>
    <w:rsid w:val="005572DF"/>
    <w:rsid w:val="005878C0"/>
    <w:rsid w:val="00595367"/>
    <w:rsid w:val="005D4A36"/>
    <w:rsid w:val="00605D6F"/>
    <w:rsid w:val="006628F0"/>
    <w:rsid w:val="00662F57"/>
    <w:rsid w:val="006654AC"/>
    <w:rsid w:val="00691775"/>
    <w:rsid w:val="006971EE"/>
    <w:rsid w:val="006A7006"/>
    <w:rsid w:val="006B448A"/>
    <w:rsid w:val="006B6DE0"/>
    <w:rsid w:val="006C0289"/>
    <w:rsid w:val="006E4507"/>
    <w:rsid w:val="006F7797"/>
    <w:rsid w:val="007053E2"/>
    <w:rsid w:val="007263DF"/>
    <w:rsid w:val="007337F3"/>
    <w:rsid w:val="007418AE"/>
    <w:rsid w:val="00750DF1"/>
    <w:rsid w:val="007552BE"/>
    <w:rsid w:val="00765B4E"/>
    <w:rsid w:val="007C4186"/>
    <w:rsid w:val="00813324"/>
    <w:rsid w:val="008243F3"/>
    <w:rsid w:val="00827BA1"/>
    <w:rsid w:val="0086645E"/>
    <w:rsid w:val="008800D9"/>
    <w:rsid w:val="00880358"/>
    <w:rsid w:val="008C0ED5"/>
    <w:rsid w:val="00924FEC"/>
    <w:rsid w:val="0093418B"/>
    <w:rsid w:val="00953109"/>
    <w:rsid w:val="00970B8C"/>
    <w:rsid w:val="00975E34"/>
    <w:rsid w:val="009934E5"/>
    <w:rsid w:val="009F51CE"/>
    <w:rsid w:val="00A05D5F"/>
    <w:rsid w:val="00AC5C89"/>
    <w:rsid w:val="00AD7D05"/>
    <w:rsid w:val="00AE2F12"/>
    <w:rsid w:val="00AF6D0A"/>
    <w:rsid w:val="00B166F6"/>
    <w:rsid w:val="00B40316"/>
    <w:rsid w:val="00B62339"/>
    <w:rsid w:val="00B7552D"/>
    <w:rsid w:val="00B77039"/>
    <w:rsid w:val="00B860A2"/>
    <w:rsid w:val="00B875EF"/>
    <w:rsid w:val="00B87E0A"/>
    <w:rsid w:val="00B971BD"/>
    <w:rsid w:val="00BA2848"/>
    <w:rsid w:val="00BB3DC0"/>
    <w:rsid w:val="00BC1407"/>
    <w:rsid w:val="00BF6120"/>
    <w:rsid w:val="00C15CE0"/>
    <w:rsid w:val="00C16EF7"/>
    <w:rsid w:val="00C476A2"/>
    <w:rsid w:val="00C562B7"/>
    <w:rsid w:val="00C63171"/>
    <w:rsid w:val="00C64A97"/>
    <w:rsid w:val="00C81CAD"/>
    <w:rsid w:val="00C97FEE"/>
    <w:rsid w:val="00CC22ED"/>
    <w:rsid w:val="00CC357B"/>
    <w:rsid w:val="00CE063F"/>
    <w:rsid w:val="00D170F6"/>
    <w:rsid w:val="00D24221"/>
    <w:rsid w:val="00D530B7"/>
    <w:rsid w:val="00D6173E"/>
    <w:rsid w:val="00D75E89"/>
    <w:rsid w:val="00D8761D"/>
    <w:rsid w:val="00E10622"/>
    <w:rsid w:val="00E916FD"/>
    <w:rsid w:val="00E977F6"/>
    <w:rsid w:val="00F05C47"/>
    <w:rsid w:val="00F10A50"/>
    <w:rsid w:val="00F110E9"/>
    <w:rsid w:val="00F15E9C"/>
    <w:rsid w:val="00F174E1"/>
    <w:rsid w:val="00F17C68"/>
    <w:rsid w:val="00F2006F"/>
    <w:rsid w:val="00F23B1A"/>
    <w:rsid w:val="00F3060C"/>
    <w:rsid w:val="00F6153C"/>
    <w:rsid w:val="00F72AD9"/>
    <w:rsid w:val="00F73A7E"/>
    <w:rsid w:val="00F84A3C"/>
    <w:rsid w:val="00F92B5A"/>
    <w:rsid w:val="00FA3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3100E-096B-47E9-951A-B2F588BE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F2006F"/>
    <w:pPr>
      <w:keepNext/>
      <w:spacing w:after="0" w:line="240" w:lineRule="auto"/>
      <w:jc w:val="center"/>
      <w:outlineLvl w:val="0"/>
    </w:pPr>
    <w:rPr>
      <w:rFonts w:ascii="Arial" w:eastAsia="Times New Roman" w:hAnsi="Arial" w:cs="Times New Roman"/>
      <w:b/>
      <w:bCs/>
      <w:sz w:val="52"/>
      <w:szCs w:val="24"/>
      <w:lang w:val="fr-FR"/>
    </w:rPr>
  </w:style>
  <w:style w:type="paragraph" w:styleId="Heading4">
    <w:name w:val="heading 4"/>
    <w:basedOn w:val="Normal"/>
    <w:next w:val="Normal"/>
    <w:link w:val="Heading4Char"/>
    <w:qFormat/>
    <w:rsid w:val="00F2006F"/>
    <w:pPr>
      <w:keepNext/>
      <w:spacing w:after="0" w:line="240" w:lineRule="auto"/>
      <w:jc w:val="center"/>
      <w:outlineLvl w:val="3"/>
    </w:pPr>
    <w:rPr>
      <w:rFonts w:ascii="Arial" w:eastAsia="Times New Roman" w:hAnsi="Arial"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List Paragraph,References,Numbered List Paragraph,ReferencesCxSpLast,List Paragraph (numbered (a)),List Paragraph nowy,Liste 1,Bullets,Dot pt,F5 List Paragraph,List Paragraph1,List Paragraph Char Char Char,Indicator Text,Numbered Para 1"/>
    <w:basedOn w:val="Normal"/>
    <w:link w:val="ListParagraphChar"/>
    <w:uiPriority w:val="34"/>
    <w:qFormat/>
    <w:rsid w:val="004F442F"/>
    <w:pPr>
      <w:ind w:left="720"/>
      <w:contextualSpacing/>
    </w:pPr>
  </w:style>
  <w:style w:type="paragraph" w:styleId="BalloonText">
    <w:name w:val="Balloon Text"/>
    <w:basedOn w:val="Normal"/>
    <w:link w:val="BalloonTextChar"/>
    <w:uiPriority w:val="99"/>
    <w:semiHidden/>
    <w:unhideWhenUsed/>
    <w:rsid w:val="001E0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674"/>
    <w:rPr>
      <w:rFonts w:ascii="Segoe UI" w:hAnsi="Segoe UI" w:cs="Segoe UI"/>
      <w:sz w:val="18"/>
      <w:szCs w:val="18"/>
      <w:lang w:val="en-GB"/>
    </w:rPr>
  </w:style>
  <w:style w:type="character" w:customStyle="1" w:styleId="Heading1Char">
    <w:name w:val="Heading 1 Char"/>
    <w:basedOn w:val="DefaultParagraphFont"/>
    <w:link w:val="Heading1"/>
    <w:rsid w:val="00F2006F"/>
    <w:rPr>
      <w:rFonts w:ascii="Arial" w:eastAsia="Times New Roman" w:hAnsi="Arial" w:cs="Times New Roman"/>
      <w:b/>
      <w:bCs/>
      <w:sz w:val="52"/>
      <w:szCs w:val="24"/>
      <w:lang w:val="fr-FR"/>
    </w:rPr>
  </w:style>
  <w:style w:type="character" w:customStyle="1" w:styleId="Heading4Char">
    <w:name w:val="Heading 4 Char"/>
    <w:basedOn w:val="DefaultParagraphFont"/>
    <w:link w:val="Heading4"/>
    <w:rsid w:val="00F2006F"/>
    <w:rPr>
      <w:rFonts w:ascii="Arial" w:eastAsia="Times New Roman" w:hAnsi="Arial" w:cs="Times New Roman"/>
      <w:b/>
      <w:bCs/>
      <w:sz w:val="28"/>
      <w:szCs w:val="24"/>
      <w:lang w:val="fr-FR"/>
    </w:rPr>
  </w:style>
  <w:style w:type="paragraph" w:styleId="BodyText">
    <w:name w:val="Body Text"/>
    <w:basedOn w:val="Normal"/>
    <w:link w:val="BodyTextChar"/>
    <w:semiHidden/>
    <w:rsid w:val="00BC1407"/>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BC14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1407"/>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C1407"/>
    <w:rPr>
      <w:rFonts w:ascii="Times New Roman" w:eastAsia="Times New Roman" w:hAnsi="Times New Roman" w:cs="Times New Roman"/>
      <w:sz w:val="24"/>
      <w:szCs w:val="24"/>
    </w:rPr>
  </w:style>
  <w:style w:type="paragraph" w:styleId="NoSpacing">
    <w:name w:val="No Spacing"/>
    <w:uiPriority w:val="1"/>
    <w:qFormat/>
    <w:rsid w:val="00BC1407"/>
    <w:pPr>
      <w:spacing w:after="0" w:line="240" w:lineRule="auto"/>
      <w:jc w:val="center"/>
    </w:pPr>
    <w:rPr>
      <w:rFonts w:ascii="Calibri" w:eastAsia="Calibri" w:hAnsi="Calibri" w:cs="Times New Roman"/>
    </w:rPr>
  </w:style>
  <w:style w:type="character" w:customStyle="1" w:styleId="NoneA">
    <w:name w:val="None A"/>
    <w:rsid w:val="00BC1407"/>
  </w:style>
  <w:style w:type="paragraph" w:customStyle="1" w:styleId="BodyA">
    <w:name w:val="Body A"/>
    <w:rsid w:val="00BC1407"/>
    <w:pPr>
      <w:pBdr>
        <w:top w:val="nil"/>
        <w:left w:val="nil"/>
        <w:bottom w:val="nil"/>
        <w:right w:val="nil"/>
        <w:between w:val="nil"/>
        <w:bar w:val="nil"/>
      </w:pBdr>
      <w:spacing w:after="0" w:line="360" w:lineRule="auto"/>
      <w:ind w:left="720"/>
      <w:jc w:val="both"/>
    </w:pPr>
    <w:rPr>
      <w:rFonts w:ascii="Arial" w:eastAsia="Arial Unicode MS" w:hAnsi="Arial" w:cs="Arial Unicode MS"/>
      <w:color w:val="000000"/>
      <w:u w:color="000000"/>
      <w:bdr w:val="nil"/>
    </w:rPr>
  </w:style>
  <w:style w:type="character" w:customStyle="1" w:styleId="ListParagraphChar">
    <w:name w:val="List Paragraph Char"/>
    <w:aliases w:val="• List Paragraph Char,References Char,Numbered List Paragraph Char,ReferencesCxSpLast Char,List Paragraph (numbered (a)) Char,List Paragraph nowy Char,Liste 1 Char,Bullets Char,Dot pt Char,F5 List Paragraph Char,List Paragraph1 Char"/>
    <w:link w:val="ListParagraph"/>
    <w:uiPriority w:val="34"/>
    <w:locked/>
    <w:rsid w:val="00BC1407"/>
    <w:rPr>
      <w:lang w:val="en-GB"/>
    </w:rPr>
  </w:style>
  <w:style w:type="character" w:customStyle="1" w:styleId="apple-style-span">
    <w:name w:val="apple-style-span"/>
    <w:rsid w:val="00BC1407"/>
  </w:style>
  <w:style w:type="paragraph" w:styleId="Header">
    <w:name w:val="header"/>
    <w:basedOn w:val="Normal"/>
    <w:link w:val="HeaderChar"/>
    <w:uiPriority w:val="99"/>
    <w:unhideWhenUsed/>
    <w:rsid w:val="00BF6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1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2373-D2FA-49AB-A279-151C5EA8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6415</Words>
  <Characters>36572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42902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Retselisitsoe Mabote</dc:creator>
  <cp:keywords/>
  <dc:description/>
  <cp:lastModifiedBy>Kokobe George</cp:lastModifiedBy>
  <cp:revision>5</cp:revision>
  <cp:lastPrinted>2017-01-17T12:39:00Z</cp:lastPrinted>
  <dcterms:created xsi:type="dcterms:W3CDTF">2017-01-17T12:36:00Z</dcterms:created>
  <dcterms:modified xsi:type="dcterms:W3CDTF">2017-03-08T09:01:00Z</dcterms:modified>
</cp:coreProperties>
</file>