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37"/>
        <w:tblW w:w="10340" w:type="dxa"/>
        <w:tblLayout w:type="fixed"/>
        <w:tblCellMar>
          <w:top w:w="57" w:type="dxa"/>
          <w:left w:w="57" w:type="dxa"/>
          <w:bottom w:w="28" w:type="dxa"/>
          <w:right w:w="57" w:type="dxa"/>
        </w:tblCellMar>
        <w:tblLook w:val="00A0" w:firstRow="1" w:lastRow="0" w:firstColumn="1" w:lastColumn="0" w:noHBand="0" w:noVBand="0"/>
      </w:tblPr>
      <w:tblGrid>
        <w:gridCol w:w="56"/>
        <w:gridCol w:w="1221"/>
        <w:gridCol w:w="57"/>
        <w:gridCol w:w="4060"/>
        <w:gridCol w:w="57"/>
        <w:gridCol w:w="184"/>
        <w:gridCol w:w="303"/>
        <w:gridCol w:w="957"/>
        <w:gridCol w:w="303"/>
        <w:gridCol w:w="2705"/>
        <w:gridCol w:w="303"/>
        <w:gridCol w:w="134"/>
      </w:tblGrid>
      <w:tr w:rsidR="00F05C47" w:rsidRPr="007D0E44" w:rsidTr="00F05C47">
        <w:trPr>
          <w:gridBefore w:val="1"/>
          <w:gridAfter w:val="2"/>
          <w:wBefore w:w="56" w:type="dxa"/>
          <w:wAfter w:w="437" w:type="dxa"/>
          <w:trHeight w:val="565"/>
        </w:trPr>
        <w:tc>
          <w:tcPr>
            <w:tcW w:w="1278" w:type="dxa"/>
            <w:gridSpan w:val="2"/>
            <w:tcBorders>
              <w:bottom w:val="single" w:sz="4" w:space="0" w:color="auto"/>
            </w:tcBorders>
            <w:vAlign w:val="center"/>
          </w:tcPr>
          <w:p w:rsidR="00F05C47" w:rsidRPr="007D0E44" w:rsidRDefault="00F05C47" w:rsidP="00F05C47">
            <w:pPr>
              <w:tabs>
                <w:tab w:val="center" w:pos="4320"/>
                <w:tab w:val="right" w:pos="8640"/>
              </w:tabs>
              <w:spacing w:after="0" w:line="240" w:lineRule="auto"/>
              <w:jc w:val="center"/>
              <w:rPr>
                <w:rFonts w:ascii="Times New Roman" w:eastAsia="Times New Roman" w:hAnsi="Times New Roman" w:cs="Times New Roman"/>
                <w:spacing w:val="4"/>
                <w:w w:val="103"/>
                <w:kern w:val="14"/>
                <w:sz w:val="24"/>
                <w:szCs w:val="24"/>
              </w:rPr>
            </w:pPr>
          </w:p>
        </w:tc>
        <w:tc>
          <w:tcPr>
            <w:tcW w:w="4117" w:type="dxa"/>
            <w:gridSpan w:val="2"/>
            <w:tcBorders>
              <w:bottom w:val="single" w:sz="4" w:space="0" w:color="auto"/>
            </w:tcBorders>
            <w:vAlign w:val="center"/>
          </w:tcPr>
          <w:p w:rsidR="00F05C47" w:rsidRPr="007D0E44" w:rsidRDefault="00F05C47" w:rsidP="00F05C47">
            <w:pPr>
              <w:tabs>
                <w:tab w:val="center" w:pos="4320"/>
                <w:tab w:val="right" w:pos="8640"/>
              </w:tabs>
              <w:spacing w:after="0" w:line="240" w:lineRule="auto"/>
              <w:rPr>
                <w:rFonts w:ascii="Times New Roman" w:eastAsia="Times New Roman" w:hAnsi="Times New Roman" w:cs="Times New Roman"/>
                <w:spacing w:val="4"/>
                <w:w w:val="103"/>
                <w:kern w:val="14"/>
                <w:sz w:val="24"/>
                <w:szCs w:val="24"/>
              </w:rPr>
            </w:pPr>
            <w:r w:rsidRPr="007D0E44">
              <w:rPr>
                <w:rFonts w:ascii="Times New Roman" w:eastAsia="SimSun" w:hAnsi="Times New Roman" w:cs="Times New Roman"/>
                <w:spacing w:val="4"/>
                <w:w w:val="103"/>
                <w:kern w:val="14"/>
                <w:sz w:val="28"/>
                <w:szCs w:val="24"/>
                <w:lang w:eastAsia="ja-JP"/>
              </w:rPr>
              <w:t xml:space="preserve">Nations </w:t>
            </w:r>
            <w:proofErr w:type="spellStart"/>
            <w:r w:rsidRPr="007D0E44">
              <w:rPr>
                <w:rFonts w:ascii="Times New Roman" w:eastAsia="SimSun" w:hAnsi="Times New Roman" w:cs="Times New Roman"/>
                <w:spacing w:val="4"/>
                <w:w w:val="103"/>
                <w:kern w:val="14"/>
                <w:sz w:val="28"/>
                <w:szCs w:val="24"/>
                <w:lang w:eastAsia="ja-JP"/>
              </w:rPr>
              <w:t>Unies</w:t>
            </w:r>
            <w:proofErr w:type="spellEnd"/>
          </w:p>
        </w:tc>
        <w:tc>
          <w:tcPr>
            <w:tcW w:w="184" w:type="dxa"/>
            <w:tcBorders>
              <w:bottom w:val="single" w:sz="4" w:space="0" w:color="auto"/>
            </w:tcBorders>
            <w:vAlign w:val="center"/>
          </w:tcPr>
          <w:p w:rsidR="00F05C47" w:rsidRPr="007D0E44" w:rsidRDefault="00F05C47" w:rsidP="00F05C47">
            <w:pPr>
              <w:tabs>
                <w:tab w:val="center" w:pos="4320"/>
                <w:tab w:val="right" w:pos="8640"/>
              </w:tabs>
              <w:spacing w:after="0" w:line="240" w:lineRule="auto"/>
              <w:rPr>
                <w:rFonts w:ascii="Times New Roman" w:eastAsia="Times New Roman" w:hAnsi="Times New Roman" w:cs="Times New Roman"/>
                <w:spacing w:val="4"/>
                <w:w w:val="103"/>
                <w:kern w:val="14"/>
                <w:sz w:val="28"/>
                <w:szCs w:val="28"/>
              </w:rPr>
            </w:pPr>
          </w:p>
        </w:tc>
        <w:tc>
          <w:tcPr>
            <w:tcW w:w="4268" w:type="dxa"/>
            <w:gridSpan w:val="4"/>
            <w:tcBorders>
              <w:bottom w:val="single" w:sz="4" w:space="0" w:color="auto"/>
            </w:tcBorders>
            <w:vAlign w:val="center"/>
          </w:tcPr>
          <w:p w:rsidR="00F05C47" w:rsidRPr="007D0E44" w:rsidRDefault="00F05C47" w:rsidP="00F05C47">
            <w:pPr>
              <w:tabs>
                <w:tab w:val="center" w:pos="4320"/>
                <w:tab w:val="right" w:pos="8640"/>
              </w:tabs>
              <w:spacing w:after="0" w:line="240" w:lineRule="auto"/>
              <w:ind w:left="175"/>
              <w:rPr>
                <w:rFonts w:ascii="Times New Roman" w:eastAsia="Times New Roman" w:hAnsi="Times New Roman" w:cs="Times New Roman"/>
                <w:spacing w:val="4"/>
                <w:w w:val="103"/>
                <w:kern w:val="14"/>
                <w:sz w:val="28"/>
                <w:szCs w:val="28"/>
              </w:rPr>
            </w:pPr>
            <w:r w:rsidRPr="007D0E44">
              <w:rPr>
                <w:rFonts w:ascii="Times New Roman" w:eastAsia="SimSun" w:hAnsi="Times New Roman" w:cs="Times New Roman"/>
                <w:spacing w:val="4"/>
                <w:w w:val="103"/>
                <w:kern w:val="14"/>
                <w:sz w:val="28"/>
                <w:szCs w:val="24"/>
                <w:lang w:eastAsia="ja-JP"/>
              </w:rPr>
              <w:t xml:space="preserve">Union </w:t>
            </w:r>
            <w:proofErr w:type="spellStart"/>
            <w:r w:rsidRPr="007D0E44">
              <w:rPr>
                <w:rFonts w:ascii="Times New Roman" w:eastAsia="SimSun" w:hAnsi="Times New Roman" w:cs="Times New Roman"/>
                <w:spacing w:val="4"/>
                <w:w w:val="103"/>
                <w:kern w:val="14"/>
                <w:sz w:val="28"/>
                <w:szCs w:val="24"/>
                <w:lang w:eastAsia="ja-JP"/>
              </w:rPr>
              <w:t>africaine</w:t>
            </w:r>
            <w:proofErr w:type="spellEnd"/>
          </w:p>
        </w:tc>
      </w:tr>
      <w:tr w:rsidR="00F05C47" w:rsidRPr="007D0E44" w:rsidTr="00F05C47">
        <w:trPr>
          <w:gridBefore w:val="1"/>
          <w:gridAfter w:val="2"/>
          <w:wBefore w:w="56" w:type="dxa"/>
          <w:wAfter w:w="437" w:type="dxa"/>
          <w:trHeight w:val="989"/>
        </w:trPr>
        <w:tc>
          <w:tcPr>
            <w:tcW w:w="1278" w:type="dxa"/>
            <w:gridSpan w:val="2"/>
            <w:tcBorders>
              <w:top w:val="single" w:sz="4" w:space="0" w:color="auto"/>
            </w:tcBorders>
          </w:tcPr>
          <w:p w:rsidR="00F05C47" w:rsidRPr="007D0E44" w:rsidRDefault="00F05C47" w:rsidP="00F05C47">
            <w:pPr>
              <w:tabs>
                <w:tab w:val="center" w:pos="4320"/>
                <w:tab w:val="right" w:pos="8640"/>
              </w:tabs>
              <w:spacing w:after="0" w:line="240" w:lineRule="auto"/>
              <w:rPr>
                <w:rFonts w:ascii="Times New Roman" w:eastAsia="Times New Roman" w:hAnsi="Times New Roman" w:cs="Times New Roman"/>
                <w:spacing w:val="4"/>
                <w:w w:val="103"/>
                <w:kern w:val="14"/>
                <w:sz w:val="24"/>
                <w:szCs w:val="24"/>
              </w:rPr>
            </w:pPr>
            <w:r w:rsidRPr="007D0E44">
              <w:rPr>
                <w:rFonts w:ascii="Times New Roman" w:eastAsia="SimSun" w:hAnsi="Times New Roman" w:cs="Times New Roman"/>
                <w:noProof/>
                <w:spacing w:val="4"/>
                <w:w w:val="103"/>
                <w:kern w:val="14"/>
                <w:sz w:val="24"/>
                <w:szCs w:val="24"/>
                <w:lang w:val="en-US"/>
              </w:rPr>
              <w:drawing>
                <wp:inline distT="0" distB="0" distL="0" distR="0" wp14:anchorId="5E937F8D" wp14:editId="5B912E78">
                  <wp:extent cx="685800" cy="552450"/>
                  <wp:effectExtent l="19050" t="0" r="0" b="0"/>
                  <wp:docPr id="2"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8"/>
                          <a:srcRect/>
                          <a:stretch>
                            <a:fillRect/>
                          </a:stretch>
                        </pic:blipFill>
                        <pic:spPr bwMode="auto">
                          <a:xfrm>
                            <a:off x="0" y="0"/>
                            <a:ext cx="685800" cy="552450"/>
                          </a:xfrm>
                          <a:prstGeom prst="rect">
                            <a:avLst/>
                          </a:prstGeom>
                          <a:noFill/>
                          <a:ln w="9525">
                            <a:noFill/>
                            <a:miter lim="800000"/>
                            <a:headEnd/>
                            <a:tailEnd/>
                          </a:ln>
                        </pic:spPr>
                      </pic:pic>
                    </a:graphicData>
                  </a:graphic>
                </wp:inline>
              </w:drawing>
            </w:r>
          </w:p>
        </w:tc>
        <w:tc>
          <w:tcPr>
            <w:tcW w:w="4117" w:type="dxa"/>
            <w:gridSpan w:val="2"/>
            <w:tcBorders>
              <w:top w:val="single" w:sz="4" w:space="0" w:color="auto"/>
            </w:tcBorders>
          </w:tcPr>
          <w:p w:rsidR="00F05C47" w:rsidRPr="007D0E44" w:rsidRDefault="00F05C47" w:rsidP="00F05C47">
            <w:pPr>
              <w:tabs>
                <w:tab w:val="center" w:pos="4320"/>
                <w:tab w:val="right" w:pos="8640"/>
              </w:tabs>
              <w:spacing w:after="0" w:line="240" w:lineRule="auto"/>
              <w:rPr>
                <w:rFonts w:ascii="Times New Roman" w:eastAsia="SimSun" w:hAnsi="Times New Roman" w:cs="Times New Roman"/>
                <w:b/>
                <w:spacing w:val="4"/>
                <w:w w:val="103"/>
                <w:kern w:val="14"/>
                <w:sz w:val="36"/>
                <w:szCs w:val="36"/>
                <w:lang w:eastAsia="ja-JP"/>
              </w:rPr>
            </w:pPr>
            <w:proofErr w:type="spellStart"/>
            <w:r w:rsidRPr="007D0E44">
              <w:rPr>
                <w:rFonts w:ascii="Times New Roman" w:eastAsia="SimSun" w:hAnsi="Times New Roman" w:cs="Times New Roman"/>
                <w:b/>
                <w:spacing w:val="4"/>
                <w:w w:val="103"/>
                <w:kern w:val="14"/>
                <w:sz w:val="36"/>
                <w:szCs w:val="36"/>
                <w:lang w:eastAsia="ja-JP"/>
              </w:rPr>
              <w:t>Conseil</w:t>
            </w:r>
            <w:proofErr w:type="spellEnd"/>
            <w:r w:rsidRPr="007D0E44">
              <w:rPr>
                <w:rFonts w:ascii="Times New Roman" w:eastAsia="SimSun" w:hAnsi="Times New Roman" w:cs="Times New Roman"/>
                <w:b/>
                <w:spacing w:val="4"/>
                <w:w w:val="103"/>
                <w:kern w:val="14"/>
                <w:sz w:val="36"/>
                <w:szCs w:val="36"/>
                <w:lang w:eastAsia="ja-JP"/>
              </w:rPr>
              <w:t xml:space="preserve"> </w:t>
            </w:r>
            <w:proofErr w:type="spellStart"/>
            <w:r w:rsidRPr="007D0E44">
              <w:rPr>
                <w:rFonts w:ascii="Times New Roman" w:eastAsia="SimSun" w:hAnsi="Times New Roman" w:cs="Times New Roman"/>
                <w:b/>
                <w:spacing w:val="4"/>
                <w:w w:val="103"/>
                <w:kern w:val="14"/>
                <w:sz w:val="36"/>
                <w:szCs w:val="36"/>
                <w:lang w:eastAsia="ja-JP"/>
              </w:rPr>
              <w:t>économique</w:t>
            </w:r>
            <w:proofErr w:type="spellEnd"/>
            <w:r w:rsidRPr="007D0E44">
              <w:rPr>
                <w:rFonts w:ascii="Times New Roman" w:eastAsia="SimSun" w:hAnsi="Times New Roman" w:cs="Times New Roman"/>
                <w:b/>
                <w:spacing w:val="4"/>
                <w:w w:val="103"/>
                <w:kern w:val="14"/>
                <w:sz w:val="36"/>
                <w:szCs w:val="36"/>
                <w:lang w:eastAsia="ja-JP"/>
              </w:rPr>
              <w:t xml:space="preserve"> </w:t>
            </w:r>
          </w:p>
          <w:p w:rsidR="00F05C47" w:rsidRPr="007D0E44" w:rsidRDefault="00F05C47" w:rsidP="00F05C47">
            <w:pPr>
              <w:tabs>
                <w:tab w:val="center" w:pos="4320"/>
                <w:tab w:val="right" w:pos="8640"/>
              </w:tabs>
              <w:spacing w:after="0" w:line="240" w:lineRule="auto"/>
              <w:rPr>
                <w:rFonts w:ascii="Times New Roman" w:eastAsia="SimSun" w:hAnsi="Times New Roman" w:cs="Times New Roman"/>
                <w:b/>
                <w:spacing w:val="4"/>
                <w:w w:val="103"/>
                <w:kern w:val="14"/>
                <w:sz w:val="36"/>
                <w:szCs w:val="36"/>
                <w:lang w:eastAsia="ja-JP"/>
              </w:rPr>
            </w:pPr>
            <w:r w:rsidRPr="007D0E44">
              <w:rPr>
                <w:rFonts w:ascii="Times New Roman" w:eastAsia="SimSun" w:hAnsi="Times New Roman" w:cs="Times New Roman"/>
                <w:b/>
                <w:spacing w:val="4"/>
                <w:w w:val="103"/>
                <w:kern w:val="14"/>
                <w:sz w:val="36"/>
                <w:szCs w:val="36"/>
                <w:lang w:eastAsia="ja-JP"/>
              </w:rPr>
              <w:t>et social</w:t>
            </w:r>
          </w:p>
          <w:p w:rsidR="00F05C47" w:rsidRPr="007D0E44" w:rsidRDefault="00F05C47" w:rsidP="00F05C47">
            <w:pPr>
              <w:tabs>
                <w:tab w:val="center" w:pos="4320"/>
                <w:tab w:val="right" w:pos="8640"/>
              </w:tabs>
              <w:spacing w:after="0" w:line="240" w:lineRule="auto"/>
              <w:rPr>
                <w:rFonts w:ascii="Times New Roman" w:eastAsia="Times New Roman" w:hAnsi="Times New Roman" w:cs="Times New Roman"/>
                <w:b/>
                <w:spacing w:val="4"/>
                <w:w w:val="103"/>
                <w:kern w:val="14"/>
                <w:sz w:val="24"/>
                <w:szCs w:val="24"/>
              </w:rPr>
            </w:pPr>
          </w:p>
        </w:tc>
        <w:tc>
          <w:tcPr>
            <w:tcW w:w="184" w:type="dxa"/>
            <w:tcBorders>
              <w:top w:val="single" w:sz="4" w:space="0" w:color="auto"/>
            </w:tcBorders>
          </w:tcPr>
          <w:p w:rsidR="00F05C47" w:rsidRPr="007D0E44" w:rsidRDefault="00F05C47" w:rsidP="00F05C47">
            <w:pPr>
              <w:tabs>
                <w:tab w:val="center" w:pos="4320"/>
                <w:tab w:val="right" w:pos="8640"/>
              </w:tabs>
              <w:spacing w:after="0" w:line="240" w:lineRule="auto"/>
              <w:rPr>
                <w:rFonts w:ascii="Times New Roman" w:eastAsia="Times New Roman" w:hAnsi="Times New Roman" w:cs="Times New Roman"/>
                <w:spacing w:val="4"/>
                <w:w w:val="103"/>
                <w:kern w:val="14"/>
                <w:sz w:val="36"/>
                <w:szCs w:val="36"/>
              </w:rPr>
            </w:pPr>
          </w:p>
        </w:tc>
        <w:tc>
          <w:tcPr>
            <w:tcW w:w="1260" w:type="dxa"/>
            <w:gridSpan w:val="2"/>
            <w:tcBorders>
              <w:top w:val="single" w:sz="4" w:space="0" w:color="auto"/>
            </w:tcBorders>
          </w:tcPr>
          <w:p w:rsidR="00F05C47" w:rsidRPr="007D0E44" w:rsidRDefault="00F05C47" w:rsidP="00F05C47">
            <w:pPr>
              <w:tabs>
                <w:tab w:val="center" w:pos="4320"/>
                <w:tab w:val="right" w:pos="8640"/>
              </w:tabs>
              <w:spacing w:after="0" w:line="240" w:lineRule="auto"/>
              <w:rPr>
                <w:rFonts w:ascii="Times New Roman" w:eastAsia="Times New Roman" w:hAnsi="Times New Roman" w:cs="Times New Roman"/>
                <w:spacing w:val="4"/>
                <w:w w:val="103"/>
                <w:kern w:val="14"/>
                <w:sz w:val="24"/>
                <w:szCs w:val="24"/>
              </w:rPr>
            </w:pPr>
            <w:r w:rsidRPr="007D0E44">
              <w:rPr>
                <w:rFonts w:ascii="Times New Roman" w:eastAsia="Times New Roman" w:hAnsi="Times New Roman" w:cs="Times New Roman"/>
                <w:noProof/>
                <w:spacing w:val="4"/>
                <w:w w:val="103"/>
                <w:kern w:val="14"/>
                <w:sz w:val="24"/>
                <w:szCs w:val="24"/>
                <w:lang w:val="en-US"/>
              </w:rPr>
              <w:drawing>
                <wp:inline distT="0" distB="0" distL="0" distR="0" wp14:anchorId="6BB0A129" wp14:editId="72238D7D">
                  <wp:extent cx="685800" cy="581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85800" cy="581025"/>
                          </a:xfrm>
                          <a:prstGeom prst="rect">
                            <a:avLst/>
                          </a:prstGeom>
                          <a:noFill/>
                          <a:ln w="9525">
                            <a:noFill/>
                            <a:miter lim="800000"/>
                            <a:headEnd/>
                            <a:tailEnd/>
                          </a:ln>
                        </pic:spPr>
                      </pic:pic>
                    </a:graphicData>
                  </a:graphic>
                </wp:inline>
              </w:drawing>
            </w:r>
          </w:p>
        </w:tc>
        <w:tc>
          <w:tcPr>
            <w:tcW w:w="3008" w:type="dxa"/>
            <w:gridSpan w:val="2"/>
          </w:tcPr>
          <w:p w:rsidR="00F05C47" w:rsidRPr="007D0E44" w:rsidRDefault="00F05C47" w:rsidP="00F05C47">
            <w:pPr>
              <w:tabs>
                <w:tab w:val="center" w:pos="4320"/>
                <w:tab w:val="right" w:pos="8640"/>
              </w:tabs>
              <w:spacing w:after="0" w:line="240" w:lineRule="auto"/>
              <w:rPr>
                <w:rFonts w:ascii="Times New Roman" w:eastAsia="Times New Roman" w:hAnsi="Times New Roman" w:cs="Times New Roman"/>
                <w:spacing w:val="4"/>
                <w:w w:val="103"/>
                <w:kern w:val="14"/>
                <w:sz w:val="24"/>
                <w:szCs w:val="24"/>
              </w:rPr>
            </w:pPr>
            <w:r w:rsidRPr="007D0E44">
              <w:rPr>
                <w:rFonts w:ascii="Times New Roman" w:eastAsia="SimSun" w:hAnsi="Times New Roman" w:cs="Times New Roman"/>
                <w:b/>
                <w:spacing w:val="4"/>
                <w:w w:val="103"/>
                <w:kern w:val="14"/>
                <w:sz w:val="36"/>
                <w:szCs w:val="36"/>
                <w:lang w:eastAsia="ja-JP"/>
              </w:rPr>
              <w:t xml:space="preserve">Union </w:t>
            </w:r>
            <w:proofErr w:type="spellStart"/>
            <w:r w:rsidRPr="007D0E44">
              <w:rPr>
                <w:rFonts w:ascii="Times New Roman" w:eastAsia="SimSun" w:hAnsi="Times New Roman" w:cs="Times New Roman"/>
                <w:b/>
                <w:spacing w:val="4"/>
                <w:w w:val="103"/>
                <w:kern w:val="14"/>
                <w:sz w:val="36"/>
                <w:szCs w:val="36"/>
                <w:lang w:eastAsia="ja-JP"/>
              </w:rPr>
              <w:t>africaine</w:t>
            </w:r>
            <w:proofErr w:type="spellEnd"/>
          </w:p>
        </w:tc>
      </w:tr>
      <w:tr w:rsidR="00F05C47" w:rsidRPr="007D0E44" w:rsidTr="00F05C47">
        <w:trPr>
          <w:trHeight w:val="1059"/>
        </w:trPr>
        <w:tc>
          <w:tcPr>
            <w:tcW w:w="1277" w:type="dxa"/>
            <w:gridSpan w:val="2"/>
            <w:tcBorders>
              <w:bottom w:val="single" w:sz="12" w:space="0" w:color="auto"/>
            </w:tcBorders>
          </w:tcPr>
          <w:p w:rsidR="00F05C47" w:rsidRPr="007D0E44" w:rsidRDefault="00F05C47" w:rsidP="00F05C47">
            <w:pPr>
              <w:tabs>
                <w:tab w:val="center" w:pos="4320"/>
                <w:tab w:val="right" w:pos="8640"/>
              </w:tabs>
              <w:spacing w:after="0" w:line="240" w:lineRule="auto"/>
              <w:rPr>
                <w:rFonts w:ascii="Times New Roman" w:eastAsia="SimSun" w:hAnsi="Times New Roman" w:cs="Times New Roman"/>
                <w:noProof/>
                <w:spacing w:val="4"/>
                <w:w w:val="103"/>
                <w:kern w:val="14"/>
                <w:sz w:val="24"/>
                <w:szCs w:val="24"/>
              </w:rPr>
            </w:pPr>
          </w:p>
        </w:tc>
        <w:tc>
          <w:tcPr>
            <w:tcW w:w="4117" w:type="dxa"/>
            <w:gridSpan w:val="2"/>
            <w:tcBorders>
              <w:bottom w:val="single" w:sz="12" w:space="0" w:color="auto"/>
            </w:tcBorders>
          </w:tcPr>
          <w:p w:rsidR="00F05C47" w:rsidRPr="007D0E44" w:rsidRDefault="00F05C47" w:rsidP="00F05C47">
            <w:pPr>
              <w:tabs>
                <w:tab w:val="center" w:pos="4320"/>
                <w:tab w:val="right" w:pos="8640"/>
              </w:tabs>
              <w:spacing w:after="0" w:line="240" w:lineRule="auto"/>
              <w:rPr>
                <w:rFonts w:ascii="Times New Roman" w:eastAsia="SimSun" w:hAnsi="Times New Roman" w:cs="Times New Roman"/>
                <w:b/>
                <w:spacing w:val="4"/>
                <w:w w:val="103"/>
                <w:kern w:val="14"/>
                <w:sz w:val="40"/>
                <w:szCs w:val="40"/>
                <w:lang w:eastAsia="ja-JP"/>
              </w:rPr>
            </w:pPr>
          </w:p>
        </w:tc>
        <w:tc>
          <w:tcPr>
            <w:tcW w:w="544" w:type="dxa"/>
            <w:gridSpan w:val="3"/>
            <w:tcBorders>
              <w:bottom w:val="single" w:sz="12" w:space="0" w:color="auto"/>
            </w:tcBorders>
          </w:tcPr>
          <w:p w:rsidR="00F05C47" w:rsidRPr="007D0E44" w:rsidRDefault="00F05C47" w:rsidP="00F05C47">
            <w:pPr>
              <w:tabs>
                <w:tab w:val="center" w:pos="4320"/>
                <w:tab w:val="right" w:pos="8640"/>
              </w:tabs>
              <w:spacing w:after="0" w:line="240" w:lineRule="auto"/>
              <w:rPr>
                <w:rFonts w:ascii="Times New Roman" w:eastAsia="Times New Roman" w:hAnsi="Times New Roman" w:cs="Times New Roman"/>
                <w:noProof/>
                <w:spacing w:val="4"/>
                <w:w w:val="103"/>
                <w:kern w:val="14"/>
                <w:sz w:val="24"/>
                <w:szCs w:val="24"/>
              </w:rPr>
            </w:pPr>
          </w:p>
        </w:tc>
        <w:tc>
          <w:tcPr>
            <w:tcW w:w="1260" w:type="dxa"/>
            <w:gridSpan w:val="2"/>
            <w:tcBorders>
              <w:bottom w:val="single" w:sz="12" w:space="0" w:color="auto"/>
            </w:tcBorders>
          </w:tcPr>
          <w:p w:rsidR="00F05C47" w:rsidRPr="007D0E44" w:rsidRDefault="00F05C47" w:rsidP="00F05C47">
            <w:pPr>
              <w:tabs>
                <w:tab w:val="center" w:pos="4320"/>
                <w:tab w:val="right" w:pos="8640"/>
              </w:tabs>
              <w:spacing w:after="0" w:line="240" w:lineRule="auto"/>
              <w:rPr>
                <w:rFonts w:ascii="Times New Roman" w:eastAsia="Times New Roman" w:hAnsi="Times New Roman" w:cs="Times New Roman"/>
                <w:noProof/>
                <w:spacing w:val="4"/>
                <w:w w:val="103"/>
                <w:kern w:val="14"/>
                <w:sz w:val="24"/>
                <w:szCs w:val="24"/>
              </w:rPr>
            </w:pPr>
          </w:p>
        </w:tc>
        <w:tc>
          <w:tcPr>
            <w:tcW w:w="3142" w:type="dxa"/>
            <w:gridSpan w:val="3"/>
            <w:tcBorders>
              <w:bottom w:val="single" w:sz="12" w:space="0" w:color="auto"/>
            </w:tcBorders>
          </w:tcPr>
          <w:p w:rsidR="00F05C47" w:rsidRPr="00F05C47" w:rsidRDefault="00F05C47" w:rsidP="00F05C47">
            <w:pPr>
              <w:widowControl w:val="0"/>
              <w:autoSpaceDE w:val="0"/>
              <w:autoSpaceDN w:val="0"/>
              <w:adjustRightInd w:val="0"/>
              <w:spacing w:after="0" w:line="240" w:lineRule="auto"/>
              <w:ind w:left="114"/>
              <w:rPr>
                <w:rFonts w:ascii="Times New Roman" w:eastAsia="SimSun" w:hAnsi="Times New Roman" w:cs="Times New Roman"/>
                <w:spacing w:val="4"/>
                <w:w w:val="103"/>
                <w:kern w:val="14"/>
                <w:sz w:val="20"/>
                <w:szCs w:val="20"/>
                <w:lang w:val="fr-FR" w:eastAsia="ja-JP"/>
              </w:rPr>
            </w:pPr>
            <w:r w:rsidRPr="00F05C47">
              <w:rPr>
                <w:rFonts w:ascii="Times New Roman" w:eastAsia="SimSun" w:hAnsi="Times New Roman" w:cs="Times New Roman"/>
                <w:spacing w:val="4"/>
                <w:w w:val="103"/>
                <w:kern w:val="14"/>
                <w:sz w:val="20"/>
                <w:szCs w:val="20"/>
                <w:lang w:val="fr-FR" w:eastAsia="ja-JP"/>
              </w:rPr>
              <w:t>E/ECA/COE/36/12</w:t>
            </w:r>
          </w:p>
          <w:p w:rsidR="00F05C47" w:rsidRPr="00F05C47" w:rsidRDefault="00F05C47" w:rsidP="00F05C47">
            <w:pPr>
              <w:widowControl w:val="0"/>
              <w:autoSpaceDE w:val="0"/>
              <w:autoSpaceDN w:val="0"/>
              <w:adjustRightInd w:val="0"/>
              <w:spacing w:after="0" w:line="240" w:lineRule="auto"/>
              <w:ind w:left="114"/>
              <w:rPr>
                <w:rFonts w:ascii="Times New Roman" w:eastAsia="SimSun" w:hAnsi="Times New Roman" w:cs="Times New Roman"/>
                <w:spacing w:val="4"/>
                <w:w w:val="103"/>
                <w:kern w:val="14"/>
                <w:sz w:val="20"/>
                <w:szCs w:val="20"/>
                <w:lang w:val="fr-FR" w:eastAsia="ja-JP"/>
              </w:rPr>
            </w:pPr>
            <w:r w:rsidRPr="00F05C47">
              <w:rPr>
                <w:rFonts w:ascii="Times New Roman" w:eastAsia="SimSun" w:hAnsi="Times New Roman" w:cs="Times New Roman"/>
                <w:spacing w:val="4"/>
                <w:w w:val="103"/>
                <w:kern w:val="14"/>
                <w:sz w:val="20"/>
                <w:szCs w:val="20"/>
                <w:lang w:val="fr-FR" w:eastAsia="ja-JP"/>
              </w:rPr>
              <w:t>AU/STC/FMEPI/EXP/12(III)</w:t>
            </w:r>
          </w:p>
          <w:p w:rsidR="00F05C47" w:rsidRPr="007D0E44" w:rsidRDefault="00F05C47" w:rsidP="00F05C47">
            <w:pPr>
              <w:widowControl w:val="0"/>
              <w:autoSpaceDE w:val="0"/>
              <w:autoSpaceDN w:val="0"/>
              <w:adjustRightInd w:val="0"/>
              <w:spacing w:after="0" w:line="240" w:lineRule="auto"/>
              <w:ind w:left="114"/>
              <w:rPr>
                <w:rFonts w:ascii="Times New Roman" w:eastAsia="SimSun" w:hAnsi="Times New Roman" w:cs="Times New Roman"/>
                <w:spacing w:val="4"/>
                <w:w w:val="103"/>
                <w:kern w:val="14"/>
                <w:sz w:val="20"/>
                <w:szCs w:val="20"/>
                <w:lang w:eastAsia="ja-JP"/>
              </w:rPr>
            </w:pPr>
            <w:r w:rsidRPr="007D0E44">
              <w:rPr>
                <w:rFonts w:ascii="Times New Roman" w:eastAsia="SimSun" w:hAnsi="Times New Roman" w:cs="Times New Roman"/>
                <w:spacing w:val="4"/>
                <w:w w:val="103"/>
                <w:kern w:val="14"/>
                <w:sz w:val="20"/>
                <w:szCs w:val="20"/>
                <w:lang w:eastAsia="ja-JP"/>
              </w:rPr>
              <w:t>Distr. </w:t>
            </w:r>
            <w:proofErr w:type="spellStart"/>
            <w:r w:rsidRPr="007D0E44">
              <w:rPr>
                <w:rFonts w:ascii="Times New Roman" w:eastAsia="SimSun" w:hAnsi="Times New Roman" w:cs="Times New Roman"/>
                <w:spacing w:val="4"/>
                <w:w w:val="103"/>
                <w:kern w:val="14"/>
                <w:sz w:val="20"/>
                <w:szCs w:val="20"/>
                <w:lang w:eastAsia="ja-JP"/>
              </w:rPr>
              <w:t>générale</w:t>
            </w:r>
            <w:proofErr w:type="spellEnd"/>
          </w:p>
          <w:p w:rsidR="00F05C47" w:rsidRPr="007D0E44" w:rsidRDefault="00F05C47" w:rsidP="00F05C47">
            <w:pPr>
              <w:widowControl w:val="0"/>
              <w:autoSpaceDE w:val="0"/>
              <w:autoSpaceDN w:val="0"/>
              <w:adjustRightInd w:val="0"/>
              <w:spacing w:after="120" w:line="240" w:lineRule="atLeast"/>
              <w:ind w:left="114"/>
              <w:rPr>
                <w:rFonts w:ascii="Times New Roman" w:eastAsia="SimSun" w:hAnsi="Times New Roman" w:cs="Times New Roman"/>
                <w:spacing w:val="4"/>
                <w:w w:val="103"/>
                <w:kern w:val="14"/>
                <w:sz w:val="20"/>
                <w:szCs w:val="20"/>
                <w:lang w:eastAsia="ja-JP"/>
              </w:rPr>
            </w:pPr>
            <w:r w:rsidRPr="007D0E44">
              <w:rPr>
                <w:rFonts w:ascii="Times New Roman" w:eastAsia="SimSun" w:hAnsi="Times New Roman" w:cs="Times New Roman"/>
                <w:spacing w:val="4"/>
                <w:w w:val="103"/>
                <w:kern w:val="14"/>
                <w:sz w:val="20"/>
                <w:szCs w:val="20"/>
                <w:lang w:eastAsia="ja-JP"/>
              </w:rPr>
              <w:t>10 </w:t>
            </w:r>
            <w:proofErr w:type="spellStart"/>
            <w:r w:rsidRPr="007D0E44">
              <w:rPr>
                <w:rFonts w:ascii="Times New Roman" w:eastAsia="SimSun" w:hAnsi="Times New Roman" w:cs="Times New Roman"/>
                <w:spacing w:val="4"/>
                <w:w w:val="103"/>
                <w:kern w:val="14"/>
                <w:sz w:val="20"/>
                <w:szCs w:val="20"/>
                <w:lang w:eastAsia="ja-JP"/>
              </w:rPr>
              <w:t>février</w:t>
            </w:r>
            <w:proofErr w:type="spellEnd"/>
            <w:r w:rsidRPr="007D0E44">
              <w:rPr>
                <w:rFonts w:ascii="Times New Roman" w:eastAsia="SimSun" w:hAnsi="Times New Roman" w:cs="Times New Roman"/>
                <w:spacing w:val="4"/>
                <w:w w:val="103"/>
                <w:kern w:val="14"/>
                <w:sz w:val="20"/>
                <w:szCs w:val="20"/>
                <w:lang w:eastAsia="ja-JP"/>
              </w:rPr>
              <w:t xml:space="preserve"> 2017</w:t>
            </w:r>
          </w:p>
          <w:p w:rsidR="00F05C47" w:rsidRPr="007D0E44" w:rsidRDefault="00F05C47" w:rsidP="00F05C47">
            <w:pPr>
              <w:tabs>
                <w:tab w:val="center" w:pos="4320"/>
                <w:tab w:val="right" w:pos="8640"/>
              </w:tabs>
              <w:spacing w:after="120" w:line="240" w:lineRule="auto"/>
              <w:ind w:left="113"/>
              <w:rPr>
                <w:rFonts w:ascii="Times New Roman" w:eastAsia="SimSun" w:hAnsi="Times New Roman" w:cs="Times New Roman"/>
                <w:spacing w:val="4"/>
                <w:w w:val="103"/>
                <w:kern w:val="14"/>
                <w:sz w:val="20"/>
                <w:szCs w:val="20"/>
                <w:lang w:eastAsia="ja-JP"/>
              </w:rPr>
            </w:pPr>
            <w:r w:rsidRPr="007D0E44" w:rsidDel="00BD126A">
              <w:rPr>
                <w:rFonts w:ascii="Times New Roman" w:eastAsia="Times New Roman" w:hAnsi="Times New Roman" w:cs="Times New Roman"/>
                <w:noProof/>
                <w:spacing w:val="4"/>
                <w:w w:val="103"/>
                <w:kern w:val="14"/>
                <w:sz w:val="20"/>
                <w:szCs w:val="20"/>
              </w:rPr>
              <w:t xml:space="preserve"> </w:t>
            </w:r>
          </w:p>
        </w:tc>
      </w:tr>
      <w:tr w:rsidR="00F05C47" w:rsidRPr="00F05C47" w:rsidTr="00F05C47">
        <w:trPr>
          <w:gridBefore w:val="1"/>
          <w:gridAfter w:val="1"/>
          <w:wBefore w:w="56" w:type="dxa"/>
          <w:wAfter w:w="134" w:type="dxa"/>
          <w:trHeight w:val="567"/>
        </w:trPr>
        <w:tc>
          <w:tcPr>
            <w:tcW w:w="5395" w:type="dxa"/>
            <w:gridSpan w:val="4"/>
            <w:tcBorders>
              <w:top w:val="single" w:sz="12" w:space="0" w:color="auto"/>
            </w:tcBorders>
          </w:tcPr>
          <w:p w:rsidR="00F05C47" w:rsidRPr="00F05C47" w:rsidRDefault="00F05C47" w:rsidP="00F05C47">
            <w:pPr>
              <w:widowControl w:val="0"/>
              <w:autoSpaceDE w:val="0"/>
              <w:autoSpaceDN w:val="0"/>
              <w:adjustRightInd w:val="0"/>
              <w:spacing w:after="0" w:line="240" w:lineRule="auto"/>
              <w:jc w:val="both"/>
              <w:rPr>
                <w:rFonts w:ascii="Times New Roman" w:eastAsia="Times New Roman" w:hAnsi="Times New Roman" w:cs="Times New Roman"/>
                <w:b/>
                <w:spacing w:val="4"/>
                <w:w w:val="103"/>
                <w:kern w:val="14"/>
                <w:sz w:val="20"/>
                <w:szCs w:val="20"/>
                <w:lang w:val="fr-FR" w:eastAsia="zh-CN"/>
              </w:rPr>
            </w:pPr>
            <w:r w:rsidRPr="00F05C47">
              <w:rPr>
                <w:rFonts w:ascii="Times New Roman" w:eastAsia="Times New Roman" w:hAnsi="Times New Roman" w:cs="Times New Roman"/>
                <w:b/>
                <w:spacing w:val="4"/>
                <w:w w:val="103"/>
                <w:kern w:val="14"/>
                <w:sz w:val="20"/>
                <w:szCs w:val="20"/>
                <w:lang w:val="fr-FR" w:eastAsia="zh-CN"/>
              </w:rPr>
              <w:t>Commission économique pour l’Afrique</w:t>
            </w:r>
          </w:p>
          <w:p w:rsidR="00F05C47" w:rsidRPr="00F05C47" w:rsidRDefault="00F05C47" w:rsidP="00F05C47">
            <w:pPr>
              <w:widowControl w:val="0"/>
              <w:autoSpaceDE w:val="0"/>
              <w:autoSpaceDN w:val="0"/>
              <w:adjustRightInd w:val="0"/>
              <w:spacing w:after="0" w:line="240" w:lineRule="auto"/>
              <w:jc w:val="both"/>
              <w:rPr>
                <w:rFonts w:ascii="Times New Roman" w:eastAsia="Times New Roman" w:hAnsi="Times New Roman" w:cs="Times New Roman"/>
                <w:b/>
                <w:spacing w:val="4"/>
                <w:w w:val="103"/>
                <w:kern w:val="14"/>
                <w:sz w:val="20"/>
                <w:szCs w:val="20"/>
                <w:lang w:val="fr-FR" w:eastAsia="zh-CN"/>
              </w:rPr>
            </w:pPr>
            <w:r w:rsidRPr="00F05C47">
              <w:rPr>
                <w:rFonts w:ascii="Times New Roman" w:eastAsia="Times New Roman" w:hAnsi="Times New Roman" w:cs="Times New Roman"/>
                <w:b/>
                <w:spacing w:val="4"/>
                <w:w w:val="103"/>
                <w:kern w:val="14"/>
                <w:sz w:val="20"/>
                <w:szCs w:val="20"/>
                <w:lang w:val="fr-FR" w:eastAsia="zh-CN"/>
              </w:rPr>
              <w:t>Comité d’experts</w:t>
            </w:r>
          </w:p>
          <w:p w:rsidR="00F05C47" w:rsidRPr="007D0E44" w:rsidRDefault="00F05C47" w:rsidP="00F05C47">
            <w:pPr>
              <w:widowControl w:val="0"/>
              <w:autoSpaceDE w:val="0"/>
              <w:autoSpaceDN w:val="0"/>
              <w:adjustRightInd w:val="0"/>
              <w:spacing w:after="0" w:line="240" w:lineRule="auto"/>
              <w:jc w:val="both"/>
              <w:rPr>
                <w:rFonts w:ascii="Times New Roman" w:eastAsia="Times New Roman" w:hAnsi="Times New Roman" w:cs="Times New Roman"/>
                <w:spacing w:val="4"/>
                <w:w w:val="103"/>
                <w:kern w:val="14"/>
                <w:sz w:val="20"/>
                <w:szCs w:val="20"/>
                <w:lang w:eastAsia="zh-CN"/>
              </w:rPr>
            </w:pPr>
            <w:proofErr w:type="spellStart"/>
            <w:r w:rsidRPr="007D0E44">
              <w:rPr>
                <w:rFonts w:ascii="Times New Roman" w:eastAsia="Times New Roman" w:hAnsi="Times New Roman" w:cs="Times New Roman"/>
                <w:spacing w:val="4"/>
                <w:w w:val="103"/>
                <w:kern w:val="14"/>
                <w:sz w:val="20"/>
                <w:szCs w:val="20"/>
                <w:lang w:eastAsia="zh-CN"/>
              </w:rPr>
              <w:t>Trente-sixième</w:t>
            </w:r>
            <w:proofErr w:type="spellEnd"/>
            <w:r w:rsidRPr="007D0E44">
              <w:rPr>
                <w:rFonts w:ascii="Times New Roman" w:eastAsia="Times New Roman" w:hAnsi="Times New Roman" w:cs="Times New Roman"/>
                <w:spacing w:val="4"/>
                <w:w w:val="103"/>
                <w:kern w:val="14"/>
                <w:sz w:val="20"/>
                <w:szCs w:val="20"/>
                <w:lang w:eastAsia="zh-CN"/>
              </w:rPr>
              <w:t xml:space="preserve"> </w:t>
            </w:r>
            <w:proofErr w:type="spellStart"/>
            <w:r w:rsidRPr="007D0E44">
              <w:rPr>
                <w:rFonts w:ascii="Times New Roman" w:eastAsia="Times New Roman" w:hAnsi="Times New Roman" w:cs="Times New Roman"/>
                <w:spacing w:val="4"/>
                <w:w w:val="103"/>
                <w:kern w:val="14"/>
                <w:sz w:val="20"/>
                <w:szCs w:val="20"/>
                <w:lang w:eastAsia="zh-CN"/>
              </w:rPr>
              <w:t>réunion</w:t>
            </w:r>
            <w:proofErr w:type="spellEnd"/>
          </w:p>
        </w:tc>
        <w:tc>
          <w:tcPr>
            <w:tcW w:w="184" w:type="dxa"/>
            <w:tcBorders>
              <w:top w:val="single" w:sz="12" w:space="0" w:color="auto"/>
            </w:tcBorders>
          </w:tcPr>
          <w:p w:rsidR="00F05C47" w:rsidRPr="007D0E44" w:rsidRDefault="00F05C47" w:rsidP="00F05C47">
            <w:pPr>
              <w:widowControl w:val="0"/>
              <w:autoSpaceDE w:val="0"/>
              <w:autoSpaceDN w:val="0"/>
              <w:adjustRightInd w:val="0"/>
              <w:spacing w:after="0" w:line="240" w:lineRule="auto"/>
              <w:ind w:left="13"/>
              <w:rPr>
                <w:rFonts w:ascii="Times New Roman" w:eastAsia="Times New Roman" w:hAnsi="Times New Roman" w:cs="Times New Roman"/>
                <w:b/>
                <w:spacing w:val="4"/>
                <w:w w:val="103"/>
                <w:kern w:val="14"/>
                <w:sz w:val="20"/>
                <w:szCs w:val="20"/>
                <w:lang w:eastAsia="zh-CN"/>
              </w:rPr>
            </w:pPr>
          </w:p>
        </w:tc>
        <w:tc>
          <w:tcPr>
            <w:tcW w:w="4571" w:type="dxa"/>
            <w:gridSpan w:val="5"/>
            <w:tcBorders>
              <w:top w:val="single" w:sz="12" w:space="0" w:color="auto"/>
            </w:tcBorders>
          </w:tcPr>
          <w:p w:rsidR="00F05C47" w:rsidRPr="00F05C47" w:rsidRDefault="00F05C47" w:rsidP="00F05C47">
            <w:pPr>
              <w:widowControl w:val="0"/>
              <w:autoSpaceDE w:val="0"/>
              <w:autoSpaceDN w:val="0"/>
              <w:adjustRightInd w:val="0"/>
              <w:spacing w:after="0" w:line="240" w:lineRule="auto"/>
              <w:ind w:left="13"/>
              <w:rPr>
                <w:rFonts w:ascii="Times New Roman" w:eastAsia="Times New Roman" w:hAnsi="Times New Roman" w:cs="Times New Roman"/>
                <w:b/>
                <w:spacing w:val="4"/>
                <w:w w:val="103"/>
                <w:kern w:val="14"/>
                <w:sz w:val="20"/>
                <w:szCs w:val="20"/>
                <w:lang w:val="fr-FR" w:eastAsia="zh-CN"/>
              </w:rPr>
            </w:pPr>
            <w:r w:rsidRPr="00F05C47">
              <w:rPr>
                <w:rFonts w:ascii="Times New Roman" w:eastAsia="Times New Roman" w:hAnsi="Times New Roman" w:cs="Times New Roman"/>
                <w:b/>
                <w:spacing w:val="4"/>
                <w:w w:val="103"/>
                <w:kern w:val="14"/>
                <w:sz w:val="20"/>
                <w:szCs w:val="20"/>
                <w:lang w:val="fr-FR" w:eastAsia="zh-CN"/>
              </w:rPr>
              <w:t>Union africaine</w:t>
            </w:r>
          </w:p>
          <w:p w:rsidR="00F05C47" w:rsidRPr="00F05C47" w:rsidRDefault="00F05C47" w:rsidP="00F05C47">
            <w:pPr>
              <w:widowControl w:val="0"/>
              <w:autoSpaceDE w:val="0"/>
              <w:autoSpaceDN w:val="0"/>
              <w:adjustRightInd w:val="0"/>
              <w:spacing w:after="0" w:line="240" w:lineRule="auto"/>
              <w:ind w:left="13"/>
              <w:rPr>
                <w:rFonts w:ascii="Times New Roman" w:eastAsia="Times New Roman" w:hAnsi="Times New Roman" w:cs="Times New Roman"/>
                <w:b/>
                <w:spacing w:val="4"/>
                <w:w w:val="103"/>
                <w:kern w:val="14"/>
                <w:sz w:val="20"/>
                <w:szCs w:val="20"/>
                <w:lang w:val="fr-FR" w:eastAsia="zh-CN"/>
              </w:rPr>
            </w:pPr>
            <w:r w:rsidRPr="00F05C47">
              <w:rPr>
                <w:rFonts w:ascii="Times New Roman" w:eastAsia="Times New Roman" w:hAnsi="Times New Roman" w:cs="Times New Roman"/>
                <w:b/>
                <w:spacing w:val="4"/>
                <w:w w:val="103"/>
                <w:kern w:val="14"/>
                <w:sz w:val="20"/>
                <w:szCs w:val="20"/>
                <w:lang w:val="fr-FR" w:eastAsia="zh-CN"/>
              </w:rPr>
              <w:t>Comité d’experts</w:t>
            </w:r>
          </w:p>
          <w:p w:rsidR="00F05C47" w:rsidRPr="00F05C47" w:rsidRDefault="00F05C47" w:rsidP="00F05C47">
            <w:pPr>
              <w:widowControl w:val="0"/>
              <w:autoSpaceDE w:val="0"/>
              <w:autoSpaceDN w:val="0"/>
              <w:adjustRightInd w:val="0"/>
              <w:spacing w:after="0" w:line="240" w:lineRule="auto"/>
              <w:ind w:left="13"/>
              <w:rPr>
                <w:rFonts w:ascii="Times New Roman" w:eastAsia="Times New Roman" w:hAnsi="Times New Roman" w:cs="Times New Roman"/>
                <w:spacing w:val="4"/>
                <w:w w:val="103"/>
                <w:kern w:val="14"/>
                <w:sz w:val="20"/>
                <w:szCs w:val="20"/>
                <w:lang w:val="fr-FR"/>
              </w:rPr>
            </w:pPr>
            <w:r w:rsidRPr="00F05C47">
              <w:rPr>
                <w:rFonts w:ascii="Times New Roman" w:eastAsia="Times New Roman" w:hAnsi="Times New Roman" w:cs="Times New Roman"/>
                <w:spacing w:val="4"/>
                <w:w w:val="103"/>
                <w:kern w:val="14"/>
                <w:sz w:val="20"/>
                <w:szCs w:val="20"/>
                <w:lang w:val="fr-FR" w:eastAsia="zh-CN"/>
              </w:rPr>
              <w:t>Troisième réunion</w:t>
            </w:r>
          </w:p>
        </w:tc>
      </w:tr>
      <w:tr w:rsidR="00F05C47" w:rsidRPr="00F05C47" w:rsidTr="00F05C47">
        <w:trPr>
          <w:gridAfter w:val="1"/>
          <w:wAfter w:w="134" w:type="dxa"/>
        </w:trPr>
        <w:tc>
          <w:tcPr>
            <w:tcW w:w="5394" w:type="dxa"/>
            <w:gridSpan w:val="4"/>
          </w:tcPr>
          <w:p w:rsidR="00F05C47" w:rsidRPr="00F05C47" w:rsidRDefault="00F05C47" w:rsidP="00F05C47">
            <w:pPr>
              <w:widowControl w:val="0"/>
              <w:autoSpaceDE w:val="0"/>
              <w:autoSpaceDN w:val="0"/>
              <w:adjustRightInd w:val="0"/>
              <w:spacing w:after="0" w:line="240" w:lineRule="auto"/>
              <w:rPr>
                <w:rFonts w:ascii="Times New Roman" w:eastAsia="SimSun" w:hAnsi="Times New Roman" w:cs="Times New Roman"/>
                <w:b/>
                <w:bCs/>
                <w:spacing w:val="4"/>
                <w:w w:val="103"/>
                <w:kern w:val="14"/>
                <w:sz w:val="20"/>
                <w:szCs w:val="20"/>
                <w:lang w:val="fr-FR" w:eastAsia="zh-CN"/>
              </w:rPr>
            </w:pPr>
          </w:p>
          <w:p w:rsidR="00F05C47" w:rsidRPr="00F05C47" w:rsidRDefault="00F05C47" w:rsidP="00F05C47">
            <w:pPr>
              <w:widowControl w:val="0"/>
              <w:autoSpaceDE w:val="0"/>
              <w:autoSpaceDN w:val="0"/>
              <w:adjustRightInd w:val="0"/>
              <w:spacing w:after="0" w:line="240" w:lineRule="auto"/>
              <w:rPr>
                <w:rFonts w:ascii="Times New Roman" w:eastAsia="SimSun" w:hAnsi="Times New Roman" w:cs="Times New Roman"/>
                <w:b/>
                <w:bCs/>
                <w:spacing w:val="4"/>
                <w:w w:val="103"/>
                <w:kern w:val="14"/>
                <w:sz w:val="20"/>
                <w:szCs w:val="20"/>
                <w:lang w:val="fr-FR" w:eastAsia="zh-CN"/>
              </w:rPr>
            </w:pPr>
            <w:r w:rsidRPr="00F05C47">
              <w:rPr>
                <w:rFonts w:ascii="Times New Roman" w:eastAsia="SimSun" w:hAnsi="Times New Roman" w:cs="Times New Roman"/>
                <w:b/>
                <w:bCs/>
                <w:spacing w:val="4"/>
                <w:w w:val="103"/>
                <w:kern w:val="14"/>
                <w:sz w:val="20"/>
                <w:szCs w:val="20"/>
                <w:lang w:val="fr-FR" w:eastAsia="zh-CN"/>
              </w:rPr>
              <w:t>Dixième Réunion annuelle conjointe du Comité technique spécialisé de l’Union africaine sur les finances, les affaires monétaires, la planification économique et l’intégration et de la Conférence des ministres africains des finances, de la planification et du développement économique de la Commission économique pour l’Afrique</w:t>
            </w:r>
          </w:p>
          <w:p w:rsidR="00F05C47" w:rsidRPr="00F05C47" w:rsidRDefault="00F05C47" w:rsidP="00F05C47">
            <w:pPr>
              <w:spacing w:after="0" w:line="240" w:lineRule="auto"/>
              <w:rPr>
                <w:rFonts w:ascii="Times New Roman" w:eastAsia="Times New Roman" w:hAnsi="Times New Roman" w:cs="Times New Roman"/>
                <w:b/>
                <w:bCs/>
                <w:spacing w:val="4"/>
                <w:w w:val="103"/>
                <w:kern w:val="14"/>
                <w:sz w:val="20"/>
                <w:szCs w:val="20"/>
                <w:lang w:val="fr-FR"/>
              </w:rPr>
            </w:pPr>
          </w:p>
          <w:p w:rsidR="00F05C47" w:rsidRPr="00F05C47" w:rsidRDefault="00F05C47" w:rsidP="00F05C47">
            <w:pPr>
              <w:spacing w:after="0" w:line="240" w:lineRule="auto"/>
              <w:rPr>
                <w:rFonts w:ascii="Times New Roman" w:eastAsia="Times New Roman" w:hAnsi="Times New Roman" w:cs="Times New Roman"/>
                <w:b/>
                <w:bCs/>
                <w:spacing w:val="4"/>
                <w:w w:val="103"/>
                <w:kern w:val="14"/>
                <w:sz w:val="20"/>
                <w:szCs w:val="20"/>
                <w:lang w:val="fr-FR"/>
              </w:rPr>
            </w:pPr>
            <w:r w:rsidRPr="00F05C47">
              <w:rPr>
                <w:rFonts w:ascii="Times New Roman" w:eastAsia="Times New Roman" w:hAnsi="Times New Roman" w:cs="Times New Roman"/>
                <w:b/>
                <w:bCs/>
                <w:spacing w:val="4"/>
                <w:w w:val="103"/>
                <w:kern w:val="14"/>
                <w:sz w:val="20"/>
                <w:szCs w:val="20"/>
                <w:lang w:val="fr-FR"/>
              </w:rPr>
              <w:t>Réunion des Comités d’experts</w:t>
            </w:r>
          </w:p>
          <w:p w:rsidR="00F05C47" w:rsidRPr="00F05C47" w:rsidRDefault="00F05C47" w:rsidP="00F05C47">
            <w:pPr>
              <w:widowControl w:val="0"/>
              <w:autoSpaceDE w:val="0"/>
              <w:autoSpaceDN w:val="0"/>
              <w:adjustRightInd w:val="0"/>
              <w:spacing w:after="0" w:line="240" w:lineRule="auto"/>
              <w:rPr>
                <w:rFonts w:ascii="Times New Roman" w:eastAsia="Times New Roman" w:hAnsi="Times New Roman" w:cs="Times New Roman"/>
                <w:spacing w:val="4"/>
                <w:w w:val="103"/>
                <w:kern w:val="14"/>
                <w:sz w:val="20"/>
                <w:szCs w:val="20"/>
                <w:lang w:val="fr-FR"/>
              </w:rPr>
            </w:pPr>
            <w:r w:rsidRPr="00F05C47">
              <w:rPr>
                <w:rFonts w:ascii="Times New Roman" w:eastAsia="SimSun" w:hAnsi="Times New Roman" w:cs="Times New Roman"/>
                <w:spacing w:val="4"/>
                <w:w w:val="103"/>
                <w:kern w:val="14"/>
                <w:sz w:val="20"/>
                <w:szCs w:val="20"/>
                <w:lang w:val="fr-FR" w:eastAsia="zh-CN"/>
              </w:rPr>
              <w:t>Dakar, 23-25 mars 2017</w:t>
            </w:r>
          </w:p>
        </w:tc>
        <w:tc>
          <w:tcPr>
            <w:tcW w:w="4812" w:type="dxa"/>
            <w:gridSpan w:val="7"/>
            <w:vAlign w:val="bottom"/>
          </w:tcPr>
          <w:p w:rsidR="00F05C47" w:rsidRPr="00F05C47" w:rsidRDefault="00F05C47" w:rsidP="00F05C47">
            <w:pPr>
              <w:tabs>
                <w:tab w:val="left" w:pos="3053"/>
                <w:tab w:val="center" w:pos="4320"/>
                <w:tab w:val="right" w:pos="8640"/>
              </w:tabs>
              <w:spacing w:after="0" w:line="240" w:lineRule="auto"/>
              <w:ind w:firstLine="3037"/>
              <w:rPr>
                <w:rFonts w:ascii="Times New Roman" w:eastAsia="Times New Roman" w:hAnsi="Times New Roman" w:cs="Times New Roman"/>
                <w:spacing w:val="4"/>
                <w:w w:val="103"/>
                <w:kern w:val="14"/>
                <w:sz w:val="20"/>
                <w:szCs w:val="20"/>
                <w:lang w:val="fr-FR"/>
              </w:rPr>
            </w:pPr>
          </w:p>
        </w:tc>
      </w:tr>
    </w:tbl>
    <w:p w:rsidR="00F05C47" w:rsidRDefault="00F05C47" w:rsidP="00AE2F12">
      <w:pPr>
        <w:spacing w:after="0" w:line="240" w:lineRule="auto"/>
        <w:jc w:val="right"/>
        <w:rPr>
          <w:rFonts w:ascii="Arial" w:hAnsi="Arial" w:cs="Arial"/>
          <w:b/>
          <w:sz w:val="18"/>
          <w:szCs w:val="18"/>
          <w:lang w:val="fr-CI"/>
        </w:rPr>
      </w:pPr>
    </w:p>
    <w:p w:rsidR="00F05C47" w:rsidRDefault="00F05C47" w:rsidP="00AE2F12">
      <w:pPr>
        <w:spacing w:after="0" w:line="240" w:lineRule="auto"/>
        <w:jc w:val="right"/>
        <w:rPr>
          <w:rFonts w:ascii="Arial" w:hAnsi="Arial" w:cs="Arial"/>
          <w:b/>
          <w:sz w:val="18"/>
          <w:szCs w:val="18"/>
          <w:lang w:val="fr-CI"/>
        </w:rPr>
      </w:pPr>
    </w:p>
    <w:p w:rsidR="00F05C47" w:rsidRDefault="00F05C47" w:rsidP="00AE2F12">
      <w:pPr>
        <w:spacing w:after="0" w:line="240" w:lineRule="auto"/>
        <w:jc w:val="right"/>
        <w:rPr>
          <w:rFonts w:ascii="Arial" w:hAnsi="Arial" w:cs="Arial"/>
          <w:b/>
          <w:sz w:val="18"/>
          <w:szCs w:val="18"/>
          <w:lang w:val="fr-CI"/>
        </w:rPr>
      </w:pPr>
    </w:p>
    <w:p w:rsidR="00F05C47" w:rsidRDefault="00F05C47" w:rsidP="00AE2F12">
      <w:pPr>
        <w:spacing w:after="0" w:line="240" w:lineRule="auto"/>
        <w:jc w:val="right"/>
        <w:rPr>
          <w:rFonts w:ascii="Arial" w:hAnsi="Arial" w:cs="Arial"/>
          <w:b/>
          <w:sz w:val="18"/>
          <w:szCs w:val="18"/>
          <w:lang w:val="fr-CI"/>
        </w:rPr>
      </w:pPr>
    </w:p>
    <w:p w:rsidR="00F05C47" w:rsidRDefault="00F05C47" w:rsidP="00AE2F12">
      <w:pPr>
        <w:spacing w:after="0" w:line="240" w:lineRule="auto"/>
        <w:jc w:val="right"/>
        <w:rPr>
          <w:rFonts w:ascii="Arial" w:hAnsi="Arial" w:cs="Arial"/>
          <w:b/>
          <w:sz w:val="18"/>
          <w:szCs w:val="18"/>
          <w:lang w:val="fr-CI"/>
        </w:rPr>
      </w:pPr>
    </w:p>
    <w:p w:rsidR="00F2006F" w:rsidRPr="00AE2F12" w:rsidRDefault="00AE2F12" w:rsidP="00AE2F12">
      <w:pPr>
        <w:spacing w:after="0" w:line="240" w:lineRule="auto"/>
        <w:jc w:val="right"/>
        <w:rPr>
          <w:rFonts w:ascii="Arial" w:hAnsi="Arial" w:cs="Arial"/>
          <w:b/>
          <w:sz w:val="18"/>
          <w:szCs w:val="18"/>
          <w:lang w:val="fr-CI"/>
        </w:rPr>
      </w:pPr>
      <w:r>
        <w:rPr>
          <w:rFonts w:ascii="Arial" w:hAnsi="Arial" w:cs="Arial"/>
          <w:b/>
          <w:sz w:val="18"/>
          <w:szCs w:val="18"/>
          <w:lang w:val="fr-CI"/>
        </w:rPr>
        <w:t>SP18584 – 122/29/15</w:t>
      </w:r>
    </w:p>
    <w:p w:rsidR="00BC1407" w:rsidRPr="004366FD" w:rsidRDefault="00BC1407" w:rsidP="00AE2F12">
      <w:pPr>
        <w:spacing w:after="0" w:line="240" w:lineRule="auto"/>
        <w:jc w:val="both"/>
        <w:rPr>
          <w:rFonts w:ascii="Arial" w:hAnsi="Arial" w:cs="Arial"/>
          <w:b/>
          <w:sz w:val="24"/>
          <w:szCs w:val="24"/>
          <w:lang w:val="fr-CI"/>
        </w:rPr>
      </w:pPr>
    </w:p>
    <w:p w:rsidR="00AE2F12" w:rsidRDefault="00AE2F12" w:rsidP="00AE2F12">
      <w:pPr>
        <w:spacing w:after="0" w:line="240" w:lineRule="auto"/>
        <w:jc w:val="center"/>
        <w:rPr>
          <w:rFonts w:ascii="Arial" w:hAnsi="Arial" w:cs="Arial"/>
          <w:b/>
          <w:sz w:val="28"/>
          <w:szCs w:val="28"/>
          <w:lang w:val="fr-CI"/>
        </w:rPr>
      </w:pPr>
    </w:p>
    <w:p w:rsidR="00AE2F12" w:rsidRDefault="00AE2F12" w:rsidP="00AE2F12">
      <w:pPr>
        <w:spacing w:after="0" w:line="240" w:lineRule="auto"/>
        <w:jc w:val="center"/>
        <w:rPr>
          <w:rFonts w:ascii="Arial" w:hAnsi="Arial" w:cs="Arial"/>
          <w:b/>
          <w:sz w:val="28"/>
          <w:szCs w:val="28"/>
          <w:lang w:val="fr-CI"/>
        </w:rPr>
      </w:pPr>
    </w:p>
    <w:p w:rsidR="00AE2F12" w:rsidRDefault="00AE2F12" w:rsidP="00AE2F12">
      <w:pPr>
        <w:spacing w:after="0" w:line="240" w:lineRule="auto"/>
        <w:jc w:val="center"/>
        <w:rPr>
          <w:rFonts w:ascii="Arial" w:hAnsi="Arial" w:cs="Arial"/>
          <w:b/>
          <w:sz w:val="28"/>
          <w:szCs w:val="28"/>
          <w:lang w:val="fr-CI"/>
        </w:rPr>
      </w:pPr>
    </w:p>
    <w:p w:rsidR="00BC1407" w:rsidRPr="00AE2F12" w:rsidRDefault="00AE2F12" w:rsidP="00AE2F12">
      <w:pPr>
        <w:spacing w:after="0" w:line="240" w:lineRule="auto"/>
        <w:jc w:val="center"/>
        <w:rPr>
          <w:rFonts w:ascii="Arial" w:hAnsi="Arial" w:cs="Arial"/>
          <w:b/>
          <w:sz w:val="28"/>
          <w:szCs w:val="28"/>
          <w:lang w:val="fr-CI"/>
        </w:rPr>
      </w:pPr>
      <w:r w:rsidRPr="00AE2F12">
        <w:rPr>
          <w:rFonts w:ascii="Arial" w:hAnsi="Arial" w:cs="Arial"/>
          <w:b/>
          <w:sz w:val="28"/>
          <w:szCs w:val="28"/>
          <w:lang w:val="fr-CI"/>
        </w:rPr>
        <w:t>RAPPORT SUR L’ÉTAT D’AVANCEMENT DU PREMIER PLAN DÉCENNAL DE MISE EN ŒUVRE DE L’AGENDA 2063</w:t>
      </w:r>
    </w:p>
    <w:p w:rsidR="00BC1407" w:rsidRPr="00AE2F12" w:rsidRDefault="00BC1407" w:rsidP="00AE2F12">
      <w:pPr>
        <w:spacing w:after="0" w:line="240" w:lineRule="auto"/>
        <w:jc w:val="both"/>
        <w:rPr>
          <w:rFonts w:ascii="Arial" w:hAnsi="Arial" w:cs="Arial"/>
          <w:b/>
          <w:sz w:val="28"/>
          <w:szCs w:val="28"/>
          <w:lang w:val="fr-CI"/>
        </w:rPr>
      </w:pPr>
    </w:p>
    <w:p w:rsidR="00BC1407" w:rsidRPr="004366FD" w:rsidRDefault="00BC1407" w:rsidP="00AE2F12">
      <w:pPr>
        <w:spacing w:after="0" w:line="240" w:lineRule="auto"/>
        <w:jc w:val="both"/>
        <w:rPr>
          <w:rFonts w:ascii="Arial" w:hAnsi="Arial" w:cs="Arial"/>
          <w:b/>
          <w:sz w:val="24"/>
          <w:szCs w:val="24"/>
          <w:lang w:val="fr-CI"/>
        </w:rPr>
      </w:pPr>
    </w:p>
    <w:p w:rsidR="00BC1407" w:rsidRPr="004366FD" w:rsidRDefault="00BC1407" w:rsidP="00AE2F12">
      <w:pPr>
        <w:spacing w:after="0" w:line="240" w:lineRule="auto"/>
        <w:jc w:val="both"/>
        <w:rPr>
          <w:rFonts w:ascii="Arial" w:hAnsi="Arial" w:cs="Arial"/>
          <w:b/>
          <w:sz w:val="24"/>
          <w:szCs w:val="24"/>
          <w:lang w:val="fr-CI"/>
        </w:rPr>
      </w:pPr>
    </w:p>
    <w:p w:rsidR="00BC1407" w:rsidRPr="004366FD" w:rsidRDefault="00BC1407" w:rsidP="00AE2F12">
      <w:pPr>
        <w:spacing w:after="0" w:line="240" w:lineRule="auto"/>
        <w:jc w:val="both"/>
        <w:rPr>
          <w:rFonts w:ascii="Arial" w:hAnsi="Arial" w:cs="Arial"/>
          <w:b/>
          <w:sz w:val="24"/>
          <w:szCs w:val="24"/>
          <w:lang w:val="fr-CI"/>
        </w:rPr>
      </w:pPr>
    </w:p>
    <w:p w:rsidR="00BC1407" w:rsidRPr="004366FD" w:rsidRDefault="00BC1407" w:rsidP="00AE2F12">
      <w:pPr>
        <w:spacing w:after="0" w:line="240" w:lineRule="auto"/>
        <w:jc w:val="both"/>
        <w:rPr>
          <w:rFonts w:ascii="Arial" w:hAnsi="Arial" w:cs="Arial"/>
          <w:b/>
          <w:sz w:val="24"/>
          <w:szCs w:val="24"/>
          <w:lang w:val="fr-CI"/>
        </w:rPr>
      </w:pPr>
    </w:p>
    <w:p w:rsidR="00BC1407" w:rsidRPr="004366FD" w:rsidRDefault="00BC1407" w:rsidP="00AE2F12">
      <w:pPr>
        <w:spacing w:after="0" w:line="240" w:lineRule="auto"/>
        <w:jc w:val="both"/>
        <w:rPr>
          <w:rFonts w:ascii="Arial" w:hAnsi="Arial" w:cs="Arial"/>
          <w:b/>
          <w:sz w:val="24"/>
          <w:szCs w:val="24"/>
          <w:lang w:val="fr-CI"/>
        </w:rPr>
      </w:pPr>
      <w:bookmarkStart w:id="0" w:name="_GoBack"/>
      <w:bookmarkEnd w:id="0"/>
    </w:p>
    <w:p w:rsidR="00BC1407" w:rsidRPr="004366FD" w:rsidRDefault="00BC1407" w:rsidP="00AE2F12">
      <w:pPr>
        <w:spacing w:after="0" w:line="240" w:lineRule="auto"/>
        <w:jc w:val="both"/>
        <w:rPr>
          <w:rFonts w:ascii="Arial" w:hAnsi="Arial" w:cs="Arial"/>
          <w:b/>
          <w:sz w:val="24"/>
          <w:szCs w:val="24"/>
          <w:lang w:val="fr-CI"/>
        </w:rPr>
      </w:pPr>
    </w:p>
    <w:p w:rsidR="00BC1407" w:rsidRPr="004366FD" w:rsidRDefault="00BC1407" w:rsidP="00AE2F12">
      <w:pPr>
        <w:spacing w:after="0" w:line="240" w:lineRule="auto"/>
        <w:jc w:val="both"/>
        <w:rPr>
          <w:rFonts w:ascii="Arial" w:hAnsi="Arial" w:cs="Arial"/>
          <w:b/>
          <w:sz w:val="24"/>
          <w:szCs w:val="24"/>
          <w:lang w:val="fr-CI"/>
        </w:rPr>
      </w:pPr>
    </w:p>
    <w:p w:rsidR="00BC1407" w:rsidRPr="004366FD" w:rsidRDefault="00BC1407" w:rsidP="00AE2F12">
      <w:pPr>
        <w:spacing w:after="0" w:line="240" w:lineRule="auto"/>
        <w:jc w:val="both"/>
        <w:rPr>
          <w:rFonts w:ascii="Arial" w:hAnsi="Arial" w:cs="Arial"/>
          <w:b/>
          <w:sz w:val="24"/>
          <w:szCs w:val="24"/>
          <w:lang w:val="fr-CI"/>
        </w:rPr>
      </w:pPr>
    </w:p>
    <w:p w:rsidR="00BC1407" w:rsidRPr="004366FD" w:rsidRDefault="00BC1407" w:rsidP="00AE2F12">
      <w:pPr>
        <w:spacing w:after="0" w:line="240" w:lineRule="auto"/>
        <w:jc w:val="both"/>
        <w:rPr>
          <w:rFonts w:ascii="Arial" w:hAnsi="Arial" w:cs="Arial"/>
          <w:b/>
          <w:sz w:val="24"/>
          <w:szCs w:val="24"/>
          <w:lang w:val="fr-CI"/>
        </w:rPr>
      </w:pPr>
    </w:p>
    <w:p w:rsidR="00BC1407" w:rsidRPr="004366FD" w:rsidRDefault="00BC1407" w:rsidP="00F05C47">
      <w:pPr>
        <w:spacing w:after="0" w:line="240" w:lineRule="auto"/>
        <w:jc w:val="center"/>
        <w:rPr>
          <w:rFonts w:ascii="Arial" w:hAnsi="Arial" w:cs="Arial"/>
          <w:b/>
          <w:sz w:val="24"/>
          <w:szCs w:val="24"/>
          <w:lang w:val="fr-CI"/>
        </w:rPr>
      </w:pPr>
      <w:r w:rsidRPr="004366FD">
        <w:rPr>
          <w:rFonts w:ascii="Arial" w:hAnsi="Arial" w:cs="Arial"/>
          <w:b/>
          <w:sz w:val="24"/>
          <w:szCs w:val="24"/>
          <w:lang w:val="fr-CI"/>
        </w:rPr>
        <w:t>D</w:t>
      </w:r>
      <w:r w:rsidR="007552BE" w:rsidRPr="004366FD">
        <w:rPr>
          <w:rFonts w:ascii="Arial" w:hAnsi="Arial" w:cs="Arial"/>
          <w:b/>
          <w:sz w:val="24"/>
          <w:szCs w:val="24"/>
          <w:lang w:val="fr-CI"/>
        </w:rPr>
        <w:t>é</w:t>
      </w:r>
      <w:r w:rsidRPr="004366FD">
        <w:rPr>
          <w:rFonts w:ascii="Arial" w:hAnsi="Arial" w:cs="Arial"/>
          <w:b/>
          <w:sz w:val="24"/>
          <w:szCs w:val="24"/>
          <w:lang w:val="fr-CI"/>
        </w:rPr>
        <w:t>cembr</w:t>
      </w:r>
      <w:r w:rsidR="007552BE" w:rsidRPr="004366FD">
        <w:rPr>
          <w:rFonts w:ascii="Arial" w:hAnsi="Arial" w:cs="Arial"/>
          <w:b/>
          <w:sz w:val="24"/>
          <w:szCs w:val="24"/>
          <w:lang w:val="fr-CI"/>
        </w:rPr>
        <w:t>e</w:t>
      </w:r>
      <w:r w:rsidRPr="004366FD">
        <w:rPr>
          <w:rFonts w:ascii="Arial" w:hAnsi="Arial" w:cs="Arial"/>
          <w:b/>
          <w:sz w:val="24"/>
          <w:szCs w:val="24"/>
          <w:lang w:val="fr-CI"/>
        </w:rPr>
        <w:t xml:space="preserve"> 2016</w:t>
      </w:r>
    </w:p>
    <w:p w:rsidR="00AE2F12" w:rsidRDefault="00AE2F12">
      <w:pPr>
        <w:rPr>
          <w:rFonts w:ascii="Arial" w:hAnsi="Arial" w:cs="Arial"/>
          <w:b/>
          <w:sz w:val="28"/>
          <w:szCs w:val="28"/>
          <w:lang w:val="fr-CI"/>
        </w:rPr>
      </w:pPr>
      <w:r>
        <w:rPr>
          <w:rFonts w:ascii="Arial" w:hAnsi="Arial" w:cs="Arial"/>
          <w:b/>
          <w:sz w:val="28"/>
          <w:szCs w:val="28"/>
          <w:lang w:val="fr-CI"/>
        </w:rPr>
        <w:br w:type="page"/>
      </w:r>
    </w:p>
    <w:p w:rsidR="00AE2F12" w:rsidRDefault="00AE2F12" w:rsidP="00AE2F12">
      <w:pPr>
        <w:spacing w:after="0" w:line="240" w:lineRule="auto"/>
        <w:jc w:val="center"/>
        <w:rPr>
          <w:rFonts w:ascii="Arial" w:hAnsi="Arial" w:cs="Arial"/>
          <w:b/>
          <w:sz w:val="28"/>
          <w:szCs w:val="28"/>
          <w:lang w:val="fr-CI"/>
        </w:rPr>
      </w:pPr>
    </w:p>
    <w:p w:rsidR="0026525D" w:rsidRDefault="00AE2F12" w:rsidP="00AE2F12">
      <w:pPr>
        <w:spacing w:after="0" w:line="240" w:lineRule="auto"/>
        <w:jc w:val="center"/>
        <w:rPr>
          <w:rFonts w:ascii="Arial" w:hAnsi="Arial" w:cs="Arial"/>
          <w:b/>
          <w:sz w:val="24"/>
          <w:szCs w:val="28"/>
          <w:lang w:val="fr-CI"/>
        </w:rPr>
      </w:pPr>
      <w:r w:rsidRPr="00AE2F12">
        <w:rPr>
          <w:rFonts w:ascii="Arial" w:hAnsi="Arial" w:cs="Arial"/>
          <w:b/>
          <w:sz w:val="24"/>
          <w:szCs w:val="28"/>
          <w:lang w:val="fr-CI"/>
        </w:rPr>
        <w:t xml:space="preserve">RAPPORT SUR L’ÉTAT D’AVANCEMENT </w:t>
      </w:r>
      <w:r w:rsidR="0026525D">
        <w:rPr>
          <w:rFonts w:ascii="Arial" w:hAnsi="Arial" w:cs="Arial"/>
          <w:b/>
          <w:sz w:val="24"/>
          <w:szCs w:val="28"/>
          <w:lang w:val="fr-CI"/>
        </w:rPr>
        <w:t>DU PREMIER</w:t>
      </w:r>
    </w:p>
    <w:p w:rsidR="00AE2F12" w:rsidRPr="00AE2F12" w:rsidRDefault="00AE2F12" w:rsidP="00AE2F12">
      <w:pPr>
        <w:spacing w:after="0" w:line="240" w:lineRule="auto"/>
        <w:jc w:val="center"/>
        <w:rPr>
          <w:rFonts w:ascii="Arial" w:hAnsi="Arial" w:cs="Arial"/>
          <w:b/>
          <w:sz w:val="24"/>
          <w:szCs w:val="28"/>
          <w:lang w:val="fr-CI"/>
        </w:rPr>
      </w:pPr>
      <w:r w:rsidRPr="00AE2F12">
        <w:rPr>
          <w:rFonts w:ascii="Arial" w:hAnsi="Arial" w:cs="Arial"/>
          <w:b/>
          <w:sz w:val="24"/>
          <w:szCs w:val="28"/>
          <w:lang w:val="fr-CI"/>
        </w:rPr>
        <w:t>PLAN DÉCENNAL DE MISE EN ŒUVRE DE L’AGENDA 2063</w:t>
      </w:r>
    </w:p>
    <w:p w:rsidR="00AE2F12" w:rsidRDefault="00AE2F12" w:rsidP="00AE2F12">
      <w:pPr>
        <w:spacing w:after="0" w:line="240" w:lineRule="auto"/>
        <w:jc w:val="both"/>
        <w:rPr>
          <w:rFonts w:ascii="Arial" w:hAnsi="Arial" w:cs="Arial"/>
          <w:b/>
          <w:sz w:val="24"/>
          <w:szCs w:val="28"/>
          <w:lang w:val="fr-CI"/>
        </w:rPr>
      </w:pPr>
    </w:p>
    <w:p w:rsidR="0026525D" w:rsidRPr="00AE2F12" w:rsidRDefault="0026525D" w:rsidP="00AE2F12">
      <w:pPr>
        <w:spacing w:after="0" w:line="240" w:lineRule="auto"/>
        <w:jc w:val="both"/>
        <w:rPr>
          <w:rFonts w:ascii="Arial" w:hAnsi="Arial" w:cs="Arial"/>
          <w:b/>
          <w:sz w:val="24"/>
          <w:szCs w:val="28"/>
          <w:lang w:val="fr-CI"/>
        </w:rPr>
      </w:pPr>
    </w:p>
    <w:p w:rsidR="002F645D" w:rsidRPr="0026525D" w:rsidRDefault="00BC1407" w:rsidP="0026525D">
      <w:pPr>
        <w:pStyle w:val="ListParagraph"/>
        <w:numPr>
          <w:ilvl w:val="0"/>
          <w:numId w:val="29"/>
        </w:numPr>
        <w:spacing w:after="0" w:line="240" w:lineRule="auto"/>
        <w:ind w:hanging="720"/>
        <w:rPr>
          <w:rFonts w:ascii="Arial" w:hAnsi="Arial" w:cs="Arial"/>
          <w:b/>
          <w:sz w:val="24"/>
          <w:szCs w:val="24"/>
          <w:lang w:val="fr-CI"/>
        </w:rPr>
      </w:pPr>
      <w:r w:rsidRPr="0026525D">
        <w:rPr>
          <w:rFonts w:ascii="Arial" w:hAnsi="Arial" w:cs="Arial"/>
          <w:b/>
          <w:sz w:val="24"/>
          <w:szCs w:val="24"/>
          <w:lang w:val="fr-CI"/>
        </w:rPr>
        <w:t xml:space="preserve">Introduction </w:t>
      </w:r>
    </w:p>
    <w:p w:rsidR="002F645D" w:rsidRPr="004366FD" w:rsidRDefault="002F645D" w:rsidP="00AE2F12">
      <w:pPr>
        <w:spacing w:after="0" w:line="240" w:lineRule="auto"/>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bCs/>
          <w:sz w:val="24"/>
          <w:szCs w:val="24"/>
          <w:lang w:val="fr-CI"/>
        </w:rPr>
      </w:pPr>
      <w:r w:rsidRPr="004366FD">
        <w:rPr>
          <w:rFonts w:ascii="Arial" w:hAnsi="Arial" w:cs="Arial"/>
          <w:bCs/>
          <w:sz w:val="24"/>
          <w:szCs w:val="24"/>
          <w:lang w:val="fr-CI"/>
        </w:rPr>
        <w:t>Le présent rapport constitue une mise à jour sur la mise en œuvre de l’Agenda 2063 soumise au Comité ministériel de suivi. Il porte essentiellement sur deux domaines clés : (i) l’internalisation de l’Agenda et ii) les progrès réalisés en ce qui concerne la mise en œuvre des projets phares. Le rapport souligne également les progrès accomplis dans l’élaboration du cadre d’évaluation et de responsabilisation de l’Agenda 2063, l’alignement/la convergence des systèmes de S</w:t>
      </w:r>
      <w:r w:rsidR="00331E1D">
        <w:rPr>
          <w:rFonts w:ascii="Arial" w:hAnsi="Arial" w:cs="Arial"/>
          <w:bCs/>
          <w:sz w:val="24"/>
          <w:szCs w:val="24"/>
          <w:lang w:val="fr-CI"/>
        </w:rPr>
        <w:t xml:space="preserve"> </w:t>
      </w:r>
      <w:r w:rsidRPr="004366FD">
        <w:rPr>
          <w:rFonts w:ascii="Arial" w:hAnsi="Arial" w:cs="Arial"/>
          <w:bCs/>
          <w:sz w:val="24"/>
          <w:szCs w:val="24"/>
          <w:lang w:val="fr-CI"/>
        </w:rPr>
        <w:t>&amp;</w:t>
      </w:r>
      <w:r w:rsidR="00331E1D">
        <w:rPr>
          <w:rFonts w:ascii="Arial" w:hAnsi="Arial" w:cs="Arial"/>
          <w:bCs/>
          <w:sz w:val="24"/>
          <w:szCs w:val="24"/>
          <w:lang w:val="fr-CI"/>
        </w:rPr>
        <w:t xml:space="preserve"> </w:t>
      </w:r>
      <w:r w:rsidRPr="004366FD">
        <w:rPr>
          <w:rFonts w:ascii="Arial" w:hAnsi="Arial" w:cs="Arial"/>
          <w:bCs/>
          <w:sz w:val="24"/>
          <w:szCs w:val="24"/>
          <w:lang w:val="fr-CI"/>
        </w:rPr>
        <w:t>E des Communautés économiques régionales dans le contexte de l’Agenda 2063, la stratégie de mobilisation des ressources et de partenariat, ainsi que les mesures prises pour sensibiliser les populations à l’Agenda 2063 et le vulgariser auprès d’elles.</w:t>
      </w:r>
    </w:p>
    <w:p w:rsidR="007552BE" w:rsidRPr="004366FD" w:rsidRDefault="007552BE" w:rsidP="00AE2F12">
      <w:pPr>
        <w:spacing w:after="0" w:line="240" w:lineRule="auto"/>
        <w:contextualSpacing/>
        <w:jc w:val="both"/>
        <w:rPr>
          <w:rFonts w:ascii="Arial" w:hAnsi="Arial" w:cs="Arial"/>
          <w:bCs/>
          <w:sz w:val="24"/>
          <w:szCs w:val="24"/>
          <w:lang w:val="fr-CI"/>
        </w:rPr>
      </w:pPr>
    </w:p>
    <w:p w:rsidR="007552BE" w:rsidRPr="004366FD" w:rsidRDefault="007552BE" w:rsidP="00AE2F12">
      <w:pPr>
        <w:spacing w:after="0" w:line="240" w:lineRule="auto"/>
        <w:contextualSpacing/>
        <w:jc w:val="both"/>
        <w:rPr>
          <w:rFonts w:ascii="Arial" w:hAnsi="Arial" w:cs="Arial"/>
          <w:bCs/>
          <w:sz w:val="24"/>
          <w:szCs w:val="24"/>
          <w:lang w:val="fr-CI"/>
        </w:rPr>
      </w:pPr>
      <w:r w:rsidRPr="004366FD">
        <w:rPr>
          <w:rFonts w:ascii="Arial" w:hAnsi="Arial" w:cs="Arial"/>
          <w:bCs/>
          <w:sz w:val="24"/>
          <w:szCs w:val="24"/>
          <w:lang w:val="fr-CI"/>
        </w:rPr>
        <w:t>Les organes délibérants respectifs de l’Union sont invités à prendre note des progrès réalisés, des enjeux et défis mis en évidence et à examiner et à adopter les mesures/recommandations proposées.</w:t>
      </w:r>
    </w:p>
    <w:p w:rsidR="007552BE" w:rsidRPr="004366FD" w:rsidRDefault="007552BE" w:rsidP="00AE2F12">
      <w:pPr>
        <w:spacing w:after="0" w:line="240" w:lineRule="auto"/>
        <w:contextualSpacing/>
        <w:jc w:val="both"/>
        <w:rPr>
          <w:rFonts w:ascii="Arial" w:hAnsi="Arial" w:cs="Arial"/>
          <w:bCs/>
          <w:sz w:val="24"/>
          <w:szCs w:val="24"/>
          <w:lang w:val="fr-CI"/>
        </w:rPr>
      </w:pPr>
    </w:p>
    <w:p w:rsidR="007552BE" w:rsidRDefault="007552BE" w:rsidP="00AE2F12">
      <w:pPr>
        <w:spacing w:after="0" w:line="240" w:lineRule="auto"/>
        <w:contextualSpacing/>
        <w:jc w:val="both"/>
        <w:rPr>
          <w:rFonts w:ascii="Arial" w:hAnsi="Arial" w:cs="Arial"/>
          <w:bCs/>
          <w:sz w:val="24"/>
          <w:szCs w:val="24"/>
          <w:lang w:val="fr-CI"/>
        </w:rPr>
      </w:pPr>
      <w:r w:rsidRPr="004366FD">
        <w:rPr>
          <w:rFonts w:ascii="Arial" w:hAnsi="Arial" w:cs="Arial"/>
          <w:bCs/>
          <w:sz w:val="24"/>
          <w:szCs w:val="24"/>
          <w:lang w:val="fr-CI"/>
        </w:rPr>
        <w:t>Le Comité est l’organe statutaire chargé de la supervision technique de la mise en œuvre de l’Agenda 2063. Il a été établi par la 24</w:t>
      </w:r>
      <w:r w:rsidRPr="004366FD">
        <w:rPr>
          <w:rFonts w:ascii="Arial" w:hAnsi="Arial" w:cs="Arial"/>
          <w:bCs/>
          <w:sz w:val="24"/>
          <w:szCs w:val="24"/>
          <w:vertAlign w:val="superscript"/>
          <w:lang w:val="fr-CI"/>
        </w:rPr>
        <w:t>e</w:t>
      </w:r>
      <w:r w:rsidRPr="004366FD">
        <w:rPr>
          <w:rFonts w:ascii="Arial" w:hAnsi="Arial" w:cs="Arial"/>
          <w:bCs/>
          <w:sz w:val="24"/>
          <w:szCs w:val="24"/>
          <w:lang w:val="fr-CI"/>
        </w:rPr>
        <w:t xml:space="preserve"> Session du Conseil exécutif, décision EX.CL/Dec.807 (janvier 2014), le « Comité ministériel sur l’Agenda 2063 » :</w:t>
      </w:r>
    </w:p>
    <w:p w:rsidR="0026525D" w:rsidRPr="004366FD" w:rsidRDefault="0026525D" w:rsidP="00AE2F12">
      <w:pPr>
        <w:spacing w:after="0" w:line="240" w:lineRule="auto"/>
        <w:contextualSpacing/>
        <w:jc w:val="both"/>
        <w:rPr>
          <w:rFonts w:ascii="Arial" w:hAnsi="Arial" w:cs="Arial"/>
          <w:bCs/>
          <w:sz w:val="24"/>
          <w:szCs w:val="24"/>
          <w:lang w:val="fr-CI"/>
        </w:rPr>
      </w:pPr>
    </w:p>
    <w:p w:rsidR="007552BE" w:rsidRPr="004366FD" w:rsidRDefault="0026525D" w:rsidP="0026525D">
      <w:pPr>
        <w:pStyle w:val="ListParagraph"/>
        <w:numPr>
          <w:ilvl w:val="0"/>
          <w:numId w:val="5"/>
        </w:numPr>
        <w:spacing w:after="0" w:line="240" w:lineRule="auto"/>
        <w:ind w:left="1276" w:hanging="567"/>
        <w:jc w:val="both"/>
        <w:rPr>
          <w:rFonts w:ascii="Arial" w:hAnsi="Arial" w:cs="Arial"/>
          <w:sz w:val="24"/>
          <w:szCs w:val="24"/>
          <w:lang w:val="fr-CI"/>
        </w:rPr>
      </w:pPr>
      <w:r>
        <w:rPr>
          <w:rFonts w:ascii="Arial" w:hAnsi="Arial" w:cs="Arial"/>
          <w:sz w:val="24"/>
          <w:szCs w:val="24"/>
          <w:lang w:val="fr-CI"/>
        </w:rPr>
        <w:t>d</w:t>
      </w:r>
      <w:r w:rsidR="007552BE" w:rsidRPr="004366FD">
        <w:rPr>
          <w:rFonts w:ascii="Arial" w:hAnsi="Arial" w:cs="Arial"/>
          <w:sz w:val="24"/>
          <w:szCs w:val="24"/>
          <w:lang w:val="fr-CI"/>
        </w:rPr>
        <w:t>éfinit l’orientation stratégique de l’Union conformément à la Vision de l’UA ;</w:t>
      </w:r>
    </w:p>
    <w:p w:rsidR="0026525D" w:rsidRDefault="0026525D" w:rsidP="0026525D">
      <w:pPr>
        <w:pStyle w:val="ListParagraph"/>
        <w:spacing w:after="0" w:line="240" w:lineRule="auto"/>
        <w:ind w:left="1276"/>
        <w:jc w:val="both"/>
        <w:rPr>
          <w:rFonts w:ascii="Arial" w:hAnsi="Arial" w:cs="Arial"/>
          <w:sz w:val="24"/>
          <w:szCs w:val="24"/>
          <w:lang w:val="fr-CI"/>
        </w:rPr>
      </w:pPr>
    </w:p>
    <w:p w:rsidR="007552BE" w:rsidRPr="004366FD" w:rsidRDefault="0026525D" w:rsidP="0026525D">
      <w:pPr>
        <w:pStyle w:val="ListParagraph"/>
        <w:numPr>
          <w:ilvl w:val="0"/>
          <w:numId w:val="5"/>
        </w:numPr>
        <w:spacing w:after="0" w:line="240" w:lineRule="auto"/>
        <w:ind w:left="1276" w:hanging="567"/>
        <w:jc w:val="both"/>
        <w:rPr>
          <w:rFonts w:ascii="Arial" w:hAnsi="Arial" w:cs="Arial"/>
          <w:sz w:val="24"/>
          <w:szCs w:val="24"/>
          <w:lang w:val="fr-CI"/>
        </w:rPr>
      </w:pPr>
      <w:r>
        <w:rPr>
          <w:rFonts w:ascii="Arial" w:hAnsi="Arial" w:cs="Arial"/>
          <w:sz w:val="24"/>
          <w:szCs w:val="24"/>
          <w:lang w:val="fr-CI"/>
        </w:rPr>
        <w:t>a</w:t>
      </w:r>
      <w:r w:rsidR="007552BE" w:rsidRPr="004366FD">
        <w:rPr>
          <w:rFonts w:ascii="Arial" w:hAnsi="Arial" w:cs="Arial"/>
          <w:sz w:val="24"/>
          <w:szCs w:val="24"/>
          <w:lang w:val="fr-CI"/>
        </w:rPr>
        <w:t>ssure l’efficacité ;</w:t>
      </w:r>
    </w:p>
    <w:p w:rsidR="0026525D" w:rsidRDefault="0026525D" w:rsidP="0026525D">
      <w:pPr>
        <w:pStyle w:val="ListParagraph"/>
        <w:spacing w:after="0" w:line="240" w:lineRule="auto"/>
        <w:ind w:left="1276"/>
        <w:jc w:val="both"/>
        <w:rPr>
          <w:rFonts w:ascii="Arial" w:hAnsi="Arial" w:cs="Arial"/>
          <w:sz w:val="24"/>
          <w:szCs w:val="24"/>
          <w:lang w:val="fr-CI"/>
        </w:rPr>
      </w:pPr>
    </w:p>
    <w:p w:rsidR="007552BE" w:rsidRPr="004366FD" w:rsidRDefault="0026525D" w:rsidP="0026525D">
      <w:pPr>
        <w:pStyle w:val="ListParagraph"/>
        <w:numPr>
          <w:ilvl w:val="0"/>
          <w:numId w:val="5"/>
        </w:numPr>
        <w:spacing w:after="0" w:line="240" w:lineRule="auto"/>
        <w:ind w:left="1276" w:hanging="567"/>
        <w:jc w:val="both"/>
        <w:rPr>
          <w:rFonts w:ascii="Arial" w:hAnsi="Arial" w:cs="Arial"/>
          <w:sz w:val="24"/>
          <w:szCs w:val="24"/>
          <w:lang w:val="fr-CI"/>
        </w:rPr>
      </w:pPr>
      <w:r>
        <w:rPr>
          <w:rFonts w:ascii="Arial" w:hAnsi="Arial" w:cs="Arial"/>
          <w:sz w:val="24"/>
          <w:szCs w:val="24"/>
          <w:lang w:val="fr-CI"/>
        </w:rPr>
        <w:t>a</w:t>
      </w:r>
      <w:r w:rsidR="007552BE" w:rsidRPr="004366FD">
        <w:rPr>
          <w:rFonts w:ascii="Arial" w:hAnsi="Arial" w:cs="Arial"/>
          <w:sz w:val="24"/>
          <w:szCs w:val="24"/>
          <w:lang w:val="fr-CI"/>
        </w:rPr>
        <w:t>ssure le financement et la responsabilisation dans la mise en œuvre de l’Agenda 2063 ;</w:t>
      </w:r>
    </w:p>
    <w:p w:rsidR="0026525D" w:rsidRDefault="0026525D" w:rsidP="0026525D">
      <w:pPr>
        <w:pStyle w:val="ListParagraph"/>
        <w:spacing w:after="0" w:line="240" w:lineRule="auto"/>
        <w:ind w:left="1276"/>
        <w:jc w:val="both"/>
        <w:rPr>
          <w:rFonts w:ascii="Arial" w:hAnsi="Arial" w:cs="Arial"/>
          <w:sz w:val="24"/>
          <w:szCs w:val="24"/>
          <w:lang w:val="fr-CI"/>
        </w:rPr>
      </w:pPr>
    </w:p>
    <w:p w:rsidR="007552BE" w:rsidRPr="004366FD" w:rsidRDefault="0026525D" w:rsidP="0026525D">
      <w:pPr>
        <w:pStyle w:val="ListParagraph"/>
        <w:numPr>
          <w:ilvl w:val="0"/>
          <w:numId w:val="5"/>
        </w:numPr>
        <w:spacing w:after="0" w:line="240" w:lineRule="auto"/>
        <w:ind w:left="1276" w:hanging="567"/>
        <w:jc w:val="both"/>
        <w:rPr>
          <w:rFonts w:ascii="Arial" w:hAnsi="Arial" w:cs="Arial"/>
          <w:sz w:val="24"/>
          <w:szCs w:val="24"/>
          <w:lang w:val="fr-CI"/>
        </w:rPr>
      </w:pPr>
      <w:r>
        <w:rPr>
          <w:rFonts w:ascii="Arial" w:hAnsi="Arial" w:cs="Arial"/>
          <w:sz w:val="24"/>
          <w:szCs w:val="24"/>
          <w:lang w:val="fr-CI"/>
        </w:rPr>
        <w:t>d</w:t>
      </w:r>
      <w:r w:rsidR="007552BE" w:rsidRPr="004366FD">
        <w:rPr>
          <w:rFonts w:ascii="Arial" w:hAnsi="Arial" w:cs="Arial"/>
          <w:sz w:val="24"/>
          <w:szCs w:val="24"/>
          <w:lang w:val="fr-CI"/>
        </w:rPr>
        <w:t>éfinit son premier Plan décennal de mise en œuvre et ses plans successifs, conformément aux règlements pertinents de l’Union africaine.</w:t>
      </w:r>
    </w:p>
    <w:p w:rsidR="007552BE" w:rsidRPr="004366FD" w:rsidRDefault="007552BE" w:rsidP="00AE2F12">
      <w:pPr>
        <w:spacing w:after="0" w:line="240" w:lineRule="auto"/>
        <w:contextualSpacing/>
        <w:jc w:val="both"/>
        <w:rPr>
          <w:rFonts w:ascii="Arial" w:hAnsi="Arial" w:cs="Arial"/>
          <w:bCs/>
          <w:sz w:val="24"/>
          <w:szCs w:val="24"/>
          <w:lang w:val="fr-CI"/>
        </w:rPr>
      </w:pPr>
    </w:p>
    <w:p w:rsidR="007552BE" w:rsidRPr="004366FD" w:rsidRDefault="007552BE" w:rsidP="00AE2F12">
      <w:pPr>
        <w:spacing w:after="0" w:line="240" w:lineRule="auto"/>
        <w:jc w:val="both"/>
        <w:rPr>
          <w:rFonts w:ascii="Arial" w:hAnsi="Arial" w:cs="Arial"/>
          <w:bCs/>
          <w:sz w:val="24"/>
          <w:szCs w:val="24"/>
          <w:lang w:val="fr-CI"/>
        </w:rPr>
      </w:pPr>
      <w:r w:rsidRPr="004366FD">
        <w:rPr>
          <w:rFonts w:ascii="Arial" w:hAnsi="Arial" w:cs="Arial"/>
          <w:bCs/>
          <w:sz w:val="24"/>
          <w:szCs w:val="24"/>
          <w:lang w:val="fr-CI"/>
        </w:rPr>
        <w:t>Les termes de référence/mandats et l’état de mise en œuvre à ce jour sont présentés dans le tableau ci-dessous.</w:t>
      </w:r>
    </w:p>
    <w:p w:rsidR="002F645D" w:rsidRPr="004366FD" w:rsidRDefault="002F645D" w:rsidP="00AE2F12">
      <w:pPr>
        <w:spacing w:after="0" w:line="240" w:lineRule="auto"/>
        <w:rPr>
          <w:rFonts w:ascii="Arial" w:hAnsi="Arial" w:cs="Arial"/>
          <w:sz w:val="24"/>
          <w:szCs w:val="24"/>
          <w:lang w:val="fr-CI"/>
        </w:rPr>
      </w:pPr>
      <w:r w:rsidRPr="004366FD">
        <w:rPr>
          <w:rFonts w:ascii="Arial" w:hAnsi="Arial" w:cs="Arial"/>
          <w:sz w:val="24"/>
          <w:szCs w:val="24"/>
          <w:lang w:val="fr-CI"/>
        </w:rPr>
        <w:br w:type="page"/>
      </w:r>
    </w:p>
    <w:p w:rsidR="002F645D" w:rsidRPr="004366FD" w:rsidRDefault="002F645D" w:rsidP="00AE2F12">
      <w:pPr>
        <w:pStyle w:val="ListParagraph"/>
        <w:spacing w:after="0" w:line="240" w:lineRule="auto"/>
        <w:jc w:val="both"/>
        <w:rPr>
          <w:rFonts w:ascii="Arial" w:hAnsi="Arial" w:cs="Arial"/>
          <w:sz w:val="24"/>
          <w:szCs w:val="24"/>
          <w:lang w:val="fr-CI"/>
        </w:rPr>
        <w:sectPr w:rsidR="002F645D" w:rsidRPr="004366FD" w:rsidSect="0026525D">
          <w:headerReference w:type="default" r:id="rId10"/>
          <w:pgSz w:w="12240" w:h="15840"/>
          <w:pgMar w:top="1440" w:right="1440" w:bottom="1440" w:left="1440" w:header="720" w:footer="720" w:gutter="0"/>
          <w:pgNumType w:start="0"/>
          <w:cols w:space="720"/>
          <w:titlePg/>
          <w:docGrid w:linePitch="360"/>
        </w:sectPr>
      </w:pPr>
    </w:p>
    <w:tbl>
      <w:tblPr>
        <w:tblStyle w:val="TableGrid"/>
        <w:tblW w:w="0" w:type="auto"/>
        <w:tblLook w:val="04A0" w:firstRow="1" w:lastRow="0" w:firstColumn="1" w:lastColumn="0" w:noHBand="0" w:noVBand="1"/>
      </w:tblPr>
      <w:tblGrid>
        <w:gridCol w:w="6799"/>
        <w:gridCol w:w="7270"/>
      </w:tblGrid>
      <w:tr w:rsidR="007552BE" w:rsidRPr="00F05C47" w:rsidTr="0026525D">
        <w:tc>
          <w:tcPr>
            <w:tcW w:w="6799" w:type="dxa"/>
          </w:tcPr>
          <w:p w:rsidR="007552BE" w:rsidRPr="0026525D" w:rsidRDefault="007552BE" w:rsidP="0026525D">
            <w:pPr>
              <w:jc w:val="center"/>
              <w:rPr>
                <w:rFonts w:ascii="Arial" w:hAnsi="Arial" w:cs="Arial"/>
                <w:b/>
                <w:szCs w:val="24"/>
                <w:lang w:val="fr-CI"/>
              </w:rPr>
            </w:pPr>
            <w:r w:rsidRPr="0026525D">
              <w:rPr>
                <w:rFonts w:ascii="Arial" w:hAnsi="Arial" w:cs="Arial"/>
                <w:b/>
                <w:szCs w:val="24"/>
                <w:lang w:val="fr-CI"/>
              </w:rPr>
              <w:lastRenderedPageBreak/>
              <w:t>Mandat</w:t>
            </w:r>
          </w:p>
        </w:tc>
        <w:tc>
          <w:tcPr>
            <w:tcW w:w="7270" w:type="dxa"/>
          </w:tcPr>
          <w:p w:rsidR="007552BE" w:rsidRPr="0026525D" w:rsidRDefault="007552BE" w:rsidP="0026525D">
            <w:pPr>
              <w:jc w:val="center"/>
              <w:rPr>
                <w:rFonts w:ascii="Arial" w:hAnsi="Arial" w:cs="Arial"/>
                <w:b/>
                <w:szCs w:val="24"/>
                <w:lang w:val="fr-CI"/>
              </w:rPr>
            </w:pPr>
            <w:r w:rsidRPr="0026525D">
              <w:rPr>
                <w:rFonts w:ascii="Arial" w:hAnsi="Arial" w:cs="Arial"/>
                <w:b/>
                <w:szCs w:val="24"/>
                <w:lang w:val="fr-CI"/>
              </w:rPr>
              <w:t>État de mise en œuvre</w:t>
            </w:r>
          </w:p>
        </w:tc>
      </w:tr>
      <w:tr w:rsidR="007552BE" w:rsidRPr="00F05C47" w:rsidTr="0026525D">
        <w:tc>
          <w:tcPr>
            <w:tcW w:w="6799" w:type="dxa"/>
          </w:tcPr>
          <w:p w:rsidR="007552BE" w:rsidRPr="0026525D" w:rsidRDefault="007552BE" w:rsidP="0026525D">
            <w:pPr>
              <w:pStyle w:val="ListParagraph"/>
              <w:numPr>
                <w:ilvl w:val="0"/>
                <w:numId w:val="28"/>
              </w:numPr>
              <w:ind w:left="454" w:hanging="425"/>
              <w:jc w:val="both"/>
              <w:rPr>
                <w:rFonts w:ascii="Arial" w:hAnsi="Arial" w:cs="Arial"/>
                <w:szCs w:val="24"/>
                <w:lang w:val="fr-CI"/>
              </w:rPr>
            </w:pPr>
            <w:r w:rsidRPr="0026525D">
              <w:rPr>
                <w:rFonts w:ascii="Arial" w:hAnsi="Arial" w:cs="Arial"/>
                <w:szCs w:val="24"/>
                <w:lang w:val="fr-CI"/>
              </w:rPr>
              <w:t>Suivre et surveiller tous les aspects de la mise en œuvre du Plan d’action 2063, son Premier plan décennal de mise en œuvre et ses projets phares et les plans et projets successifs, et formuler des recommandations appropriées au Conseil exécutif, qui peut, le cas échéant, les renvoyer à la Conférence.</w:t>
            </w:r>
          </w:p>
          <w:p w:rsidR="0026525D" w:rsidRPr="0026525D" w:rsidRDefault="0026525D" w:rsidP="0026525D">
            <w:pPr>
              <w:pStyle w:val="ListParagraph"/>
              <w:ind w:left="1080"/>
              <w:jc w:val="both"/>
              <w:rPr>
                <w:rFonts w:ascii="Arial" w:hAnsi="Arial" w:cs="Arial"/>
                <w:szCs w:val="24"/>
                <w:lang w:val="fr-CI"/>
              </w:rPr>
            </w:pPr>
          </w:p>
          <w:p w:rsidR="007552BE" w:rsidRPr="0026525D" w:rsidRDefault="007552BE" w:rsidP="00AE2F12">
            <w:pPr>
              <w:jc w:val="both"/>
              <w:rPr>
                <w:rFonts w:ascii="Arial" w:hAnsi="Arial" w:cs="Arial"/>
                <w:bCs/>
                <w:szCs w:val="24"/>
                <w:lang w:val="fr-CI"/>
              </w:rPr>
            </w:pPr>
          </w:p>
        </w:tc>
        <w:tc>
          <w:tcPr>
            <w:tcW w:w="7270" w:type="dxa"/>
          </w:tcPr>
          <w:p w:rsidR="007552BE" w:rsidRPr="0026525D" w:rsidRDefault="007552BE" w:rsidP="0026525D">
            <w:pPr>
              <w:pStyle w:val="ListParagraph"/>
              <w:numPr>
                <w:ilvl w:val="3"/>
                <w:numId w:val="18"/>
              </w:numPr>
              <w:ind w:left="500" w:hanging="502"/>
              <w:jc w:val="both"/>
              <w:rPr>
                <w:rFonts w:ascii="Arial" w:hAnsi="Arial" w:cs="Arial"/>
                <w:bCs/>
                <w:szCs w:val="24"/>
                <w:lang w:val="fr-CI"/>
              </w:rPr>
            </w:pPr>
            <w:r w:rsidRPr="0026525D">
              <w:rPr>
                <w:rFonts w:ascii="Arial" w:hAnsi="Arial" w:cs="Arial"/>
                <w:szCs w:val="24"/>
                <w:lang w:val="fr-CI"/>
              </w:rPr>
              <w:t>Des progrès importants ont été accomplis en ce qui concerne l’élaboration d’un tel cadre de mesure et de responsabilisation.</w:t>
            </w:r>
          </w:p>
          <w:p w:rsidR="007552BE" w:rsidRPr="0026525D" w:rsidRDefault="007552BE" w:rsidP="0026525D">
            <w:pPr>
              <w:pStyle w:val="ListParagraph"/>
              <w:numPr>
                <w:ilvl w:val="0"/>
                <w:numId w:val="2"/>
              </w:numPr>
              <w:ind w:left="925" w:hanging="425"/>
              <w:jc w:val="both"/>
              <w:rPr>
                <w:rFonts w:ascii="Arial" w:hAnsi="Arial" w:cs="Arial"/>
                <w:bCs/>
                <w:szCs w:val="24"/>
                <w:lang w:val="fr-CI"/>
              </w:rPr>
            </w:pPr>
            <w:r w:rsidRPr="0026525D">
              <w:rPr>
                <w:rFonts w:ascii="Arial" w:hAnsi="Arial" w:cs="Arial"/>
                <w:szCs w:val="24"/>
                <w:lang w:val="fr-CI"/>
              </w:rPr>
              <w:t>Un ensemble d’indicateurs des FTYIP et les sources de données ont été convenus.</w:t>
            </w:r>
          </w:p>
          <w:p w:rsidR="007552BE" w:rsidRPr="0026525D" w:rsidRDefault="007552BE" w:rsidP="0026525D">
            <w:pPr>
              <w:pStyle w:val="ListParagraph"/>
              <w:numPr>
                <w:ilvl w:val="0"/>
                <w:numId w:val="2"/>
              </w:numPr>
              <w:ind w:left="925" w:hanging="425"/>
              <w:jc w:val="both"/>
              <w:rPr>
                <w:rFonts w:ascii="Arial" w:hAnsi="Arial" w:cs="Arial"/>
                <w:bCs/>
                <w:szCs w:val="24"/>
                <w:lang w:val="fr-CI"/>
              </w:rPr>
            </w:pPr>
            <w:r w:rsidRPr="0026525D">
              <w:rPr>
                <w:rFonts w:ascii="Arial" w:hAnsi="Arial" w:cs="Arial"/>
                <w:bCs/>
                <w:szCs w:val="24"/>
                <w:lang w:val="fr-CI"/>
              </w:rPr>
              <w:t>Élaboration des cartes à point de l’Agenda 2063 dans les zones ciblées dans le cadre de la validation des indicateurs.</w:t>
            </w:r>
          </w:p>
          <w:p w:rsidR="007552BE" w:rsidRPr="0026525D" w:rsidRDefault="007552BE" w:rsidP="0026525D">
            <w:pPr>
              <w:pStyle w:val="ListParagraph"/>
              <w:numPr>
                <w:ilvl w:val="0"/>
                <w:numId w:val="2"/>
              </w:numPr>
              <w:ind w:left="925" w:hanging="425"/>
              <w:jc w:val="both"/>
              <w:rPr>
                <w:rFonts w:ascii="Arial" w:hAnsi="Arial" w:cs="Arial"/>
                <w:bCs/>
                <w:szCs w:val="24"/>
                <w:lang w:val="fr-CI"/>
              </w:rPr>
            </w:pPr>
            <w:r w:rsidRPr="0026525D">
              <w:rPr>
                <w:rFonts w:ascii="Arial" w:hAnsi="Arial" w:cs="Arial"/>
                <w:bCs/>
                <w:szCs w:val="24"/>
                <w:lang w:val="fr-CI"/>
              </w:rPr>
              <w:t>Le cycle de suivi, notamment la fréquence et la durée d’obtention des données/informations de suivi auprès des États membres, ainsi que la fréquence et le calendrier de production des rapports de suivi ont été convenus.</w:t>
            </w:r>
          </w:p>
          <w:p w:rsidR="007552BE" w:rsidRPr="0026525D" w:rsidRDefault="007552BE" w:rsidP="0026525D">
            <w:pPr>
              <w:pStyle w:val="ListParagraph"/>
              <w:numPr>
                <w:ilvl w:val="3"/>
                <w:numId w:val="18"/>
              </w:numPr>
              <w:ind w:left="500" w:hanging="502"/>
              <w:jc w:val="both"/>
              <w:rPr>
                <w:rFonts w:ascii="Arial" w:hAnsi="Arial" w:cs="Arial"/>
                <w:bCs/>
                <w:szCs w:val="24"/>
                <w:lang w:val="fr-CI"/>
              </w:rPr>
            </w:pPr>
            <w:r w:rsidRPr="0026525D">
              <w:rPr>
                <w:rFonts w:ascii="Arial" w:hAnsi="Arial" w:cs="Arial"/>
                <w:szCs w:val="24"/>
                <w:lang w:val="fr-CI"/>
              </w:rPr>
              <w:t>Un projet de cadre de S</w:t>
            </w:r>
            <w:r w:rsidR="00331E1D" w:rsidRPr="0026525D">
              <w:rPr>
                <w:rFonts w:ascii="Arial" w:hAnsi="Arial" w:cs="Arial"/>
                <w:szCs w:val="24"/>
                <w:lang w:val="fr-CI"/>
              </w:rPr>
              <w:t xml:space="preserve"> </w:t>
            </w:r>
            <w:r w:rsidRPr="0026525D">
              <w:rPr>
                <w:rFonts w:ascii="Arial" w:hAnsi="Arial" w:cs="Arial"/>
                <w:szCs w:val="24"/>
                <w:lang w:val="fr-CI"/>
              </w:rPr>
              <w:t>&amp;</w:t>
            </w:r>
            <w:r w:rsidR="00331E1D" w:rsidRPr="0026525D">
              <w:rPr>
                <w:rFonts w:ascii="Arial" w:hAnsi="Arial" w:cs="Arial"/>
                <w:szCs w:val="24"/>
                <w:lang w:val="fr-CI"/>
              </w:rPr>
              <w:t xml:space="preserve"> </w:t>
            </w:r>
            <w:r w:rsidRPr="0026525D">
              <w:rPr>
                <w:rFonts w:ascii="Arial" w:hAnsi="Arial" w:cs="Arial"/>
                <w:szCs w:val="24"/>
                <w:lang w:val="fr-CI"/>
              </w:rPr>
              <w:t>E devrait être présenté au CTS lors de la réunion de mars 2017 avant son approbation finale par le Sommet de juin 2017.</w:t>
            </w:r>
          </w:p>
          <w:p w:rsidR="007552BE" w:rsidRPr="0026525D" w:rsidRDefault="007552BE" w:rsidP="0026525D">
            <w:pPr>
              <w:pStyle w:val="ListParagraph"/>
              <w:numPr>
                <w:ilvl w:val="3"/>
                <w:numId w:val="18"/>
              </w:numPr>
              <w:ind w:left="500" w:hanging="502"/>
              <w:jc w:val="both"/>
              <w:rPr>
                <w:rFonts w:ascii="Arial" w:hAnsi="Arial" w:cs="Arial"/>
                <w:bCs/>
                <w:szCs w:val="24"/>
                <w:lang w:val="fr-CI"/>
              </w:rPr>
            </w:pPr>
            <w:r w:rsidRPr="0026525D">
              <w:rPr>
                <w:rFonts w:ascii="Arial" w:hAnsi="Arial" w:cs="Arial"/>
                <w:bCs/>
                <w:szCs w:val="24"/>
                <w:lang w:val="fr-CI"/>
              </w:rPr>
              <w:t xml:space="preserve">Les progrès réalisés dans la mise en œuvre des projets phares se </w:t>
            </w:r>
            <w:r w:rsidRPr="0026525D">
              <w:rPr>
                <w:rFonts w:ascii="Arial" w:hAnsi="Arial" w:cs="Arial"/>
                <w:szCs w:val="24"/>
                <w:lang w:val="fr-CI"/>
              </w:rPr>
              <w:t>situent</w:t>
            </w:r>
            <w:r w:rsidRPr="0026525D">
              <w:rPr>
                <w:rFonts w:ascii="Arial" w:hAnsi="Arial" w:cs="Arial"/>
                <w:bCs/>
                <w:szCs w:val="24"/>
                <w:lang w:val="fr-CI"/>
              </w:rPr>
              <w:t xml:space="preserve"> à des niveaux différents selon la feuille de route établie pour chacun d’eux. Les études de faisabilité ont été achevées pour la plupart des projets et les parties prenantes ont été sensibilisées à procéder à leur démarrage.</w:t>
            </w:r>
          </w:p>
        </w:tc>
      </w:tr>
      <w:tr w:rsidR="007552BE" w:rsidRPr="00F05C47" w:rsidTr="0026525D">
        <w:tc>
          <w:tcPr>
            <w:tcW w:w="6799" w:type="dxa"/>
          </w:tcPr>
          <w:p w:rsidR="007552BE" w:rsidRPr="0026525D" w:rsidRDefault="007552BE" w:rsidP="0026525D">
            <w:pPr>
              <w:pStyle w:val="ListParagraph"/>
              <w:numPr>
                <w:ilvl w:val="0"/>
                <w:numId w:val="28"/>
              </w:numPr>
              <w:ind w:left="454" w:hanging="425"/>
              <w:jc w:val="both"/>
              <w:rPr>
                <w:rFonts w:ascii="Arial" w:hAnsi="Arial" w:cs="Arial"/>
                <w:bCs/>
                <w:szCs w:val="24"/>
                <w:lang w:val="fr-CI"/>
              </w:rPr>
            </w:pPr>
            <w:r w:rsidRPr="0026525D">
              <w:rPr>
                <w:rFonts w:ascii="Arial" w:hAnsi="Arial" w:cs="Arial"/>
                <w:szCs w:val="24"/>
                <w:lang w:val="fr-CI"/>
              </w:rPr>
              <w:t>Veiller à ce que les États membres et les organisations régionales intègrent l’Agenda 2063 dans leurs plans de développement ;</w:t>
            </w:r>
          </w:p>
        </w:tc>
        <w:tc>
          <w:tcPr>
            <w:tcW w:w="7270" w:type="dxa"/>
          </w:tcPr>
          <w:p w:rsidR="007552BE" w:rsidRPr="0026525D" w:rsidRDefault="007552BE" w:rsidP="0026525D">
            <w:pPr>
              <w:pStyle w:val="ListParagraph"/>
              <w:numPr>
                <w:ilvl w:val="0"/>
                <w:numId w:val="27"/>
              </w:numPr>
              <w:ind w:left="500" w:hanging="502"/>
              <w:jc w:val="both"/>
              <w:rPr>
                <w:rFonts w:ascii="Arial" w:hAnsi="Arial" w:cs="Arial"/>
                <w:bCs/>
                <w:szCs w:val="24"/>
                <w:lang w:val="fr-CI"/>
              </w:rPr>
            </w:pPr>
            <w:r w:rsidRPr="0026525D">
              <w:rPr>
                <w:rFonts w:ascii="Arial" w:hAnsi="Arial" w:cs="Arial"/>
                <w:szCs w:val="24"/>
                <w:lang w:val="fr-CI"/>
              </w:rPr>
              <w:t xml:space="preserve">31 pays ont été sensibilisés à la mise en œuvre de l’Agenda 2063 ; 9 dans la </w:t>
            </w:r>
            <w:r w:rsidR="00BF6120" w:rsidRPr="0026525D">
              <w:rPr>
                <w:rFonts w:ascii="Arial" w:hAnsi="Arial" w:cs="Arial"/>
                <w:szCs w:val="24"/>
                <w:lang w:val="fr-CI"/>
              </w:rPr>
              <w:t>r</w:t>
            </w:r>
            <w:r w:rsidRPr="0026525D">
              <w:rPr>
                <w:rFonts w:ascii="Arial" w:hAnsi="Arial" w:cs="Arial"/>
                <w:szCs w:val="24"/>
                <w:lang w:val="fr-CI"/>
              </w:rPr>
              <w:t>égion Ouest, 8 dans le Sud, 8 dans l’Est, 4 dans le Centre et seulement 2 en Afrique du Nord.</w:t>
            </w:r>
          </w:p>
          <w:p w:rsidR="007552BE" w:rsidRPr="0026525D" w:rsidRDefault="007552BE" w:rsidP="0026525D">
            <w:pPr>
              <w:pStyle w:val="ListParagraph"/>
              <w:numPr>
                <w:ilvl w:val="0"/>
                <w:numId w:val="27"/>
              </w:numPr>
              <w:ind w:left="500" w:hanging="502"/>
              <w:jc w:val="both"/>
              <w:rPr>
                <w:rFonts w:ascii="Arial" w:hAnsi="Arial" w:cs="Arial"/>
                <w:bCs/>
                <w:szCs w:val="24"/>
                <w:lang w:val="fr-CI"/>
              </w:rPr>
            </w:pPr>
            <w:r w:rsidRPr="0026525D">
              <w:rPr>
                <w:rFonts w:ascii="Arial" w:hAnsi="Arial" w:cs="Arial"/>
                <w:bCs/>
                <w:szCs w:val="24"/>
                <w:lang w:val="fr-CI"/>
              </w:rPr>
              <w:t>Tous les organes de l’UA et les CER ont été sensibilisés et l’exercice d’auto</w:t>
            </w:r>
            <w:r w:rsidR="00BF6120" w:rsidRPr="0026525D">
              <w:rPr>
                <w:rFonts w:ascii="Arial" w:hAnsi="Arial" w:cs="Arial"/>
                <w:bCs/>
                <w:szCs w:val="24"/>
                <w:lang w:val="fr-CI"/>
              </w:rPr>
              <w:t>-</w:t>
            </w:r>
            <w:r w:rsidRPr="0026525D">
              <w:rPr>
                <w:rFonts w:ascii="Arial" w:hAnsi="Arial" w:cs="Arial"/>
                <w:bCs/>
                <w:szCs w:val="24"/>
                <w:lang w:val="fr-CI"/>
              </w:rPr>
              <w:t>évaluation et de cartographie a été mené à bien par la Commission afin de déterminer les progrès réalisés dans la mise en œuvre du plan stratégique actuel et d’aligner le plan subséquent au FTYIP.</w:t>
            </w:r>
          </w:p>
        </w:tc>
      </w:tr>
      <w:tr w:rsidR="007552BE" w:rsidRPr="00F05C47" w:rsidTr="0026525D">
        <w:tc>
          <w:tcPr>
            <w:tcW w:w="6799" w:type="dxa"/>
          </w:tcPr>
          <w:p w:rsidR="007552BE" w:rsidRPr="0026525D" w:rsidRDefault="007552BE" w:rsidP="0026525D">
            <w:pPr>
              <w:pStyle w:val="ListParagraph"/>
              <w:numPr>
                <w:ilvl w:val="0"/>
                <w:numId w:val="28"/>
              </w:numPr>
              <w:ind w:left="454" w:hanging="425"/>
              <w:jc w:val="both"/>
              <w:rPr>
                <w:rFonts w:ascii="Arial" w:hAnsi="Arial" w:cs="Arial"/>
                <w:bCs/>
                <w:szCs w:val="24"/>
                <w:lang w:val="fr-CI"/>
              </w:rPr>
            </w:pPr>
            <w:r w:rsidRPr="0026525D">
              <w:rPr>
                <w:rFonts w:ascii="Arial" w:hAnsi="Arial" w:cs="Arial"/>
                <w:szCs w:val="24"/>
                <w:lang w:val="fr-CI"/>
              </w:rPr>
              <w:t>Surveiller et évaluer la mise en œuvre de toutes les décisions budgétaires de l’Union africaine relatives au financement et à la mise en œuvre d’Action 2063.</w:t>
            </w:r>
          </w:p>
        </w:tc>
        <w:tc>
          <w:tcPr>
            <w:tcW w:w="7270" w:type="dxa"/>
          </w:tcPr>
          <w:p w:rsidR="007552BE" w:rsidRPr="0026525D" w:rsidRDefault="007552BE" w:rsidP="00AE2F12">
            <w:pPr>
              <w:jc w:val="both"/>
              <w:rPr>
                <w:rFonts w:ascii="Arial" w:hAnsi="Arial" w:cs="Arial"/>
                <w:bCs/>
                <w:szCs w:val="24"/>
                <w:lang w:val="fr-CI"/>
              </w:rPr>
            </w:pPr>
            <w:r w:rsidRPr="0026525D">
              <w:rPr>
                <w:rFonts w:ascii="Arial" w:hAnsi="Arial" w:cs="Arial"/>
                <w:szCs w:val="24"/>
                <w:lang w:val="fr-CI"/>
              </w:rPr>
              <w:t>Ceci sera mis en œuvre pour les budgets suivants/ultérieurs à partir de 2017.</w:t>
            </w:r>
          </w:p>
        </w:tc>
      </w:tr>
      <w:tr w:rsidR="007552BE" w:rsidRPr="00F05C47" w:rsidTr="0026525D">
        <w:tc>
          <w:tcPr>
            <w:tcW w:w="6799" w:type="dxa"/>
          </w:tcPr>
          <w:p w:rsidR="007552BE" w:rsidRPr="0026525D" w:rsidRDefault="007552BE" w:rsidP="0026525D">
            <w:pPr>
              <w:pStyle w:val="ListParagraph"/>
              <w:numPr>
                <w:ilvl w:val="0"/>
                <w:numId w:val="28"/>
              </w:numPr>
              <w:ind w:left="454" w:hanging="425"/>
              <w:jc w:val="both"/>
              <w:rPr>
                <w:rFonts w:ascii="Arial" w:hAnsi="Arial" w:cs="Arial"/>
                <w:szCs w:val="24"/>
                <w:lang w:val="fr-CI"/>
              </w:rPr>
            </w:pPr>
            <w:r w:rsidRPr="0026525D">
              <w:rPr>
                <w:rFonts w:ascii="Arial" w:hAnsi="Arial" w:cs="Arial"/>
                <w:szCs w:val="24"/>
                <w:lang w:val="fr-CI"/>
              </w:rPr>
              <w:t xml:space="preserve">Analyser, sur une base biannuelle, les rapports d’état d’avancement de toutes les parties prenantes (Comité de </w:t>
            </w:r>
            <w:r w:rsidRPr="0026525D">
              <w:rPr>
                <w:rFonts w:ascii="Arial" w:hAnsi="Arial" w:cs="Arial"/>
                <w:szCs w:val="24"/>
                <w:lang w:val="fr-CI"/>
              </w:rPr>
              <w:lastRenderedPageBreak/>
              <w:t>coordination des chefs de secrétariat de la CUA, des CER, de la CEA et de la BAD et des CTS) sur la mise en œuvre de l’Agenda 2063 sur la base de domaines thématiques et formuler les recommandations appropriées au Conseil exécutif.</w:t>
            </w:r>
          </w:p>
        </w:tc>
        <w:tc>
          <w:tcPr>
            <w:tcW w:w="7270" w:type="dxa"/>
          </w:tcPr>
          <w:p w:rsidR="007552BE" w:rsidRPr="0026525D" w:rsidRDefault="007552BE" w:rsidP="00AE2F12">
            <w:pPr>
              <w:jc w:val="both"/>
              <w:rPr>
                <w:rFonts w:ascii="Arial" w:hAnsi="Arial" w:cs="Arial"/>
                <w:szCs w:val="24"/>
                <w:lang w:val="fr-CI"/>
              </w:rPr>
            </w:pPr>
            <w:r w:rsidRPr="0026525D">
              <w:rPr>
                <w:rFonts w:ascii="Arial" w:hAnsi="Arial" w:cs="Arial"/>
                <w:szCs w:val="24"/>
                <w:lang w:val="fr-CI"/>
              </w:rPr>
              <w:lastRenderedPageBreak/>
              <w:t xml:space="preserve">Des rapports d’étape sont préparés semestriellement, en particulier pour les institutions/agences qui coordonnent la mise en œuvre des projets et </w:t>
            </w:r>
            <w:r w:rsidRPr="0026525D">
              <w:rPr>
                <w:rFonts w:ascii="Arial" w:hAnsi="Arial" w:cs="Arial"/>
                <w:szCs w:val="24"/>
                <w:lang w:val="fr-CI"/>
              </w:rPr>
              <w:lastRenderedPageBreak/>
              <w:t>programmes phares, en vue d’améliorer l’efficacité de l’utilisation des ressources.</w:t>
            </w:r>
          </w:p>
        </w:tc>
      </w:tr>
      <w:tr w:rsidR="007552BE" w:rsidRPr="00F05C47" w:rsidTr="0026525D">
        <w:tc>
          <w:tcPr>
            <w:tcW w:w="6799" w:type="dxa"/>
          </w:tcPr>
          <w:p w:rsidR="007552BE" w:rsidRPr="0026525D" w:rsidRDefault="007552BE" w:rsidP="0026525D">
            <w:pPr>
              <w:pStyle w:val="ListParagraph"/>
              <w:numPr>
                <w:ilvl w:val="0"/>
                <w:numId w:val="28"/>
              </w:numPr>
              <w:ind w:left="454" w:hanging="425"/>
              <w:jc w:val="both"/>
              <w:rPr>
                <w:rFonts w:ascii="Arial" w:hAnsi="Arial" w:cs="Arial"/>
                <w:szCs w:val="24"/>
                <w:lang w:val="fr-CI"/>
              </w:rPr>
            </w:pPr>
            <w:r w:rsidRPr="0026525D">
              <w:rPr>
                <w:rFonts w:ascii="Arial" w:hAnsi="Arial" w:cs="Arial"/>
                <w:szCs w:val="24"/>
                <w:lang w:val="fr-CI"/>
              </w:rPr>
              <w:lastRenderedPageBreak/>
              <w:t>Assurer l’alignement des thèmes annuels de la Conférence de l’Union sur les 12 projets phares du Premier plan décennal de mise en œuvre.</w:t>
            </w:r>
          </w:p>
        </w:tc>
        <w:tc>
          <w:tcPr>
            <w:tcW w:w="7270" w:type="dxa"/>
          </w:tcPr>
          <w:p w:rsidR="007552BE" w:rsidRPr="0026525D" w:rsidRDefault="007552BE" w:rsidP="00AE2F12">
            <w:pPr>
              <w:jc w:val="both"/>
              <w:rPr>
                <w:rFonts w:ascii="Arial" w:hAnsi="Arial" w:cs="Arial"/>
                <w:szCs w:val="24"/>
                <w:lang w:val="fr-CI"/>
              </w:rPr>
            </w:pPr>
            <w:r w:rsidRPr="0026525D">
              <w:rPr>
                <w:rFonts w:ascii="Arial" w:hAnsi="Arial" w:cs="Arial"/>
                <w:szCs w:val="24"/>
                <w:lang w:val="fr-CI"/>
              </w:rPr>
              <w:t>Ce point devrait être examiné pendant la retraite afin de convenir des modalités.</w:t>
            </w:r>
          </w:p>
        </w:tc>
      </w:tr>
      <w:tr w:rsidR="007552BE" w:rsidRPr="0026525D" w:rsidTr="0026525D">
        <w:tc>
          <w:tcPr>
            <w:tcW w:w="6799" w:type="dxa"/>
          </w:tcPr>
          <w:p w:rsidR="007552BE" w:rsidRPr="0026525D" w:rsidRDefault="007552BE" w:rsidP="0026525D">
            <w:pPr>
              <w:pStyle w:val="ListParagraph"/>
              <w:numPr>
                <w:ilvl w:val="0"/>
                <w:numId w:val="28"/>
              </w:numPr>
              <w:ind w:left="454" w:hanging="425"/>
              <w:jc w:val="both"/>
              <w:rPr>
                <w:rFonts w:ascii="Arial" w:hAnsi="Arial" w:cs="Arial"/>
                <w:szCs w:val="24"/>
                <w:lang w:val="fr-CI"/>
              </w:rPr>
            </w:pPr>
            <w:r w:rsidRPr="0026525D">
              <w:rPr>
                <w:rFonts w:ascii="Arial" w:hAnsi="Arial" w:cs="Arial"/>
                <w:szCs w:val="24"/>
                <w:lang w:val="fr-CI"/>
              </w:rPr>
              <w:t>Veiller à ce que tous les efforts soient déployés pour combler l’écart enregistré par le paradoxe africain et formuler des recommandations pertinentes à ce sujet aux retraites ministérielles.</w:t>
            </w:r>
          </w:p>
        </w:tc>
        <w:tc>
          <w:tcPr>
            <w:tcW w:w="7270" w:type="dxa"/>
          </w:tcPr>
          <w:p w:rsidR="007552BE" w:rsidRPr="0026525D" w:rsidRDefault="007552BE" w:rsidP="00AE2F12">
            <w:pPr>
              <w:jc w:val="both"/>
              <w:rPr>
                <w:rFonts w:ascii="Arial" w:hAnsi="Arial" w:cs="Arial"/>
                <w:szCs w:val="24"/>
                <w:lang w:val="fr-CI"/>
              </w:rPr>
            </w:pPr>
            <w:r w:rsidRPr="0026525D">
              <w:rPr>
                <w:rFonts w:ascii="Arial" w:hAnsi="Arial" w:cs="Arial"/>
                <w:szCs w:val="24"/>
                <w:lang w:val="fr-CI"/>
              </w:rPr>
              <w:t>En cours</w:t>
            </w:r>
          </w:p>
        </w:tc>
      </w:tr>
      <w:tr w:rsidR="007552BE" w:rsidRPr="00F05C47" w:rsidTr="0026525D">
        <w:tc>
          <w:tcPr>
            <w:tcW w:w="6799" w:type="dxa"/>
          </w:tcPr>
          <w:p w:rsidR="007552BE" w:rsidRPr="0026525D" w:rsidRDefault="007552BE" w:rsidP="0026525D">
            <w:pPr>
              <w:pStyle w:val="ListParagraph"/>
              <w:numPr>
                <w:ilvl w:val="0"/>
                <w:numId w:val="28"/>
              </w:numPr>
              <w:ind w:left="454" w:hanging="425"/>
              <w:jc w:val="both"/>
              <w:rPr>
                <w:rFonts w:ascii="Arial" w:hAnsi="Arial" w:cs="Arial"/>
                <w:szCs w:val="24"/>
                <w:lang w:val="fr-CI"/>
              </w:rPr>
            </w:pPr>
            <w:r w:rsidRPr="0026525D">
              <w:rPr>
                <w:rFonts w:ascii="Arial" w:hAnsi="Arial" w:cs="Arial"/>
                <w:szCs w:val="24"/>
                <w:lang w:val="fr-CI"/>
              </w:rPr>
              <w:t>Assure le suivi et la préparation, sur une base continue, d’un rapport de mise en œuvre et/ou d’une matrice sur tous les résultats et décisions antérieurs de la Retraite ministérielle afin d’assurer la cohérence et la continuité des questions discutées.</w:t>
            </w:r>
          </w:p>
        </w:tc>
        <w:tc>
          <w:tcPr>
            <w:tcW w:w="7270" w:type="dxa"/>
          </w:tcPr>
          <w:p w:rsidR="007552BE" w:rsidRPr="0026525D" w:rsidRDefault="007552BE" w:rsidP="00AE2F12">
            <w:pPr>
              <w:jc w:val="both"/>
              <w:rPr>
                <w:rFonts w:ascii="Arial" w:hAnsi="Arial" w:cs="Arial"/>
                <w:szCs w:val="24"/>
                <w:lang w:val="fr-CI"/>
              </w:rPr>
            </w:pPr>
            <w:r w:rsidRPr="0026525D">
              <w:rPr>
                <w:rFonts w:ascii="Arial" w:hAnsi="Arial" w:cs="Arial"/>
                <w:szCs w:val="24"/>
                <w:lang w:val="fr-CI"/>
              </w:rPr>
              <w:t>Ceci est pris en compte par le rapport coordonné par le Bureau du Secrétaire général.</w:t>
            </w:r>
          </w:p>
        </w:tc>
      </w:tr>
      <w:tr w:rsidR="007552BE" w:rsidRPr="00F05C47" w:rsidTr="0026525D">
        <w:tc>
          <w:tcPr>
            <w:tcW w:w="6799" w:type="dxa"/>
          </w:tcPr>
          <w:p w:rsidR="007552BE" w:rsidRPr="0026525D" w:rsidRDefault="007552BE" w:rsidP="0026525D">
            <w:pPr>
              <w:pStyle w:val="ListParagraph"/>
              <w:numPr>
                <w:ilvl w:val="0"/>
                <w:numId w:val="28"/>
              </w:numPr>
              <w:ind w:left="454" w:hanging="425"/>
              <w:jc w:val="both"/>
              <w:rPr>
                <w:rFonts w:ascii="Arial" w:hAnsi="Arial" w:cs="Arial"/>
                <w:szCs w:val="24"/>
                <w:lang w:val="fr-CI"/>
              </w:rPr>
            </w:pPr>
            <w:r w:rsidRPr="0026525D">
              <w:rPr>
                <w:rFonts w:ascii="Arial" w:hAnsi="Arial" w:cs="Arial"/>
                <w:szCs w:val="24"/>
                <w:lang w:val="fr-CI"/>
              </w:rPr>
              <w:t>Formuler des propositions pertinentes sur les points de l’ordre du jour des retraites ministérielles.</w:t>
            </w:r>
          </w:p>
        </w:tc>
        <w:tc>
          <w:tcPr>
            <w:tcW w:w="7270" w:type="dxa"/>
          </w:tcPr>
          <w:p w:rsidR="007552BE" w:rsidRPr="0026525D" w:rsidRDefault="007552BE" w:rsidP="00AE2F12">
            <w:pPr>
              <w:jc w:val="both"/>
              <w:rPr>
                <w:rFonts w:ascii="Arial" w:hAnsi="Arial" w:cs="Arial"/>
                <w:szCs w:val="24"/>
                <w:lang w:val="fr-CI"/>
              </w:rPr>
            </w:pPr>
            <w:r w:rsidRPr="0026525D">
              <w:rPr>
                <w:rFonts w:ascii="Arial" w:hAnsi="Arial" w:cs="Arial"/>
                <w:szCs w:val="24"/>
                <w:lang w:val="fr-CI"/>
              </w:rPr>
              <w:t>Le groupe technique du Comité soumet des propositions pour examen.</w:t>
            </w:r>
          </w:p>
        </w:tc>
      </w:tr>
      <w:tr w:rsidR="007552BE" w:rsidRPr="00F05C47" w:rsidTr="0026525D">
        <w:tc>
          <w:tcPr>
            <w:tcW w:w="6799" w:type="dxa"/>
          </w:tcPr>
          <w:p w:rsidR="007552BE" w:rsidRPr="0026525D" w:rsidRDefault="007552BE" w:rsidP="0026525D">
            <w:pPr>
              <w:pStyle w:val="ListParagraph"/>
              <w:numPr>
                <w:ilvl w:val="0"/>
                <w:numId w:val="28"/>
              </w:numPr>
              <w:ind w:left="454" w:hanging="425"/>
              <w:jc w:val="both"/>
              <w:rPr>
                <w:rFonts w:ascii="Arial" w:hAnsi="Arial" w:cs="Arial"/>
                <w:szCs w:val="24"/>
                <w:lang w:val="fr-CI"/>
              </w:rPr>
            </w:pPr>
            <w:r w:rsidRPr="0026525D">
              <w:rPr>
                <w:rFonts w:ascii="Arial" w:hAnsi="Arial" w:cs="Arial"/>
                <w:szCs w:val="24"/>
                <w:lang w:val="fr-CI"/>
              </w:rPr>
              <w:t xml:space="preserve">Entreprendre des examens à mi-parcours et formuler les propositions nécessaires sur l’affinage/l’amendement des Plans décennaux de mise en œuvre de l’Agenda 2063 </w:t>
            </w:r>
            <w:r w:rsidR="0026525D">
              <w:rPr>
                <w:rFonts w:ascii="Arial" w:hAnsi="Arial" w:cs="Arial"/>
                <w:szCs w:val="24"/>
                <w:lang w:val="fr-CI"/>
              </w:rPr>
              <w:t>[</w:t>
            </w:r>
            <w:r w:rsidRPr="0026525D">
              <w:rPr>
                <w:rFonts w:ascii="Arial" w:hAnsi="Arial" w:cs="Arial"/>
                <w:szCs w:val="24"/>
                <w:lang w:val="fr-CI"/>
              </w:rPr>
              <w:t xml:space="preserve">tel que prévu dans </w:t>
            </w:r>
            <w:r w:rsidR="0026525D">
              <w:rPr>
                <w:rFonts w:ascii="Arial" w:hAnsi="Arial" w:cs="Arial"/>
                <w:szCs w:val="24"/>
                <w:lang w:val="fr-CI"/>
              </w:rPr>
              <w:t>la Décision EX.CL/Dec.894 (§24)]</w:t>
            </w:r>
            <w:r w:rsidRPr="0026525D">
              <w:rPr>
                <w:rFonts w:ascii="Arial" w:hAnsi="Arial" w:cs="Arial"/>
                <w:szCs w:val="24"/>
                <w:lang w:val="fr-CI"/>
              </w:rPr>
              <w:t>.</w:t>
            </w:r>
          </w:p>
        </w:tc>
        <w:tc>
          <w:tcPr>
            <w:tcW w:w="7270" w:type="dxa"/>
          </w:tcPr>
          <w:p w:rsidR="007552BE" w:rsidRPr="0026525D" w:rsidRDefault="007552BE" w:rsidP="00AE2F12">
            <w:pPr>
              <w:jc w:val="both"/>
              <w:rPr>
                <w:rFonts w:ascii="Arial" w:hAnsi="Arial" w:cs="Arial"/>
                <w:szCs w:val="24"/>
                <w:lang w:val="fr-CI"/>
              </w:rPr>
            </w:pPr>
            <w:r w:rsidRPr="0026525D">
              <w:rPr>
                <w:rFonts w:ascii="Arial" w:hAnsi="Arial" w:cs="Arial"/>
                <w:szCs w:val="24"/>
                <w:lang w:val="fr-CI"/>
              </w:rPr>
              <w:t>Pas encore le temps pour procéder à l’examen à mi-parcours.</w:t>
            </w:r>
          </w:p>
        </w:tc>
      </w:tr>
      <w:tr w:rsidR="007552BE" w:rsidRPr="00F05C47" w:rsidTr="0026525D">
        <w:tc>
          <w:tcPr>
            <w:tcW w:w="6799" w:type="dxa"/>
          </w:tcPr>
          <w:p w:rsidR="007552BE" w:rsidRPr="0026525D" w:rsidRDefault="007552BE" w:rsidP="0026525D">
            <w:pPr>
              <w:pStyle w:val="ListParagraph"/>
              <w:numPr>
                <w:ilvl w:val="0"/>
                <w:numId w:val="28"/>
              </w:numPr>
              <w:ind w:left="454" w:hanging="425"/>
              <w:jc w:val="both"/>
              <w:rPr>
                <w:rFonts w:ascii="Arial" w:hAnsi="Arial" w:cs="Arial"/>
                <w:szCs w:val="24"/>
                <w:lang w:val="fr-CI"/>
              </w:rPr>
            </w:pPr>
            <w:r w:rsidRPr="0026525D">
              <w:rPr>
                <w:rFonts w:ascii="Arial" w:hAnsi="Arial" w:cs="Arial"/>
                <w:szCs w:val="24"/>
                <w:lang w:val="fr-CI"/>
              </w:rPr>
              <w:t>S’assurer que le travail et les résultats de l’ensemble des organes, mécanismes et processus de l’UA, en particulier les CTS, contribuent de manière cohérente, efficace et non répétitive à l’atteinte de l’objectif général qui est la mise en œuvre de l’Agenda 2063 et de son Premier Plan décennal de mise en œuvre.</w:t>
            </w:r>
          </w:p>
        </w:tc>
        <w:tc>
          <w:tcPr>
            <w:tcW w:w="7270" w:type="dxa"/>
          </w:tcPr>
          <w:p w:rsidR="007552BE" w:rsidRPr="0026525D" w:rsidRDefault="007552BE" w:rsidP="00AE2F12">
            <w:pPr>
              <w:jc w:val="both"/>
              <w:rPr>
                <w:rFonts w:ascii="Arial" w:hAnsi="Arial" w:cs="Arial"/>
                <w:szCs w:val="24"/>
                <w:lang w:val="fr-CI"/>
              </w:rPr>
            </w:pPr>
            <w:r w:rsidRPr="0026525D">
              <w:rPr>
                <w:rFonts w:ascii="Arial" w:hAnsi="Arial" w:cs="Arial"/>
                <w:szCs w:val="24"/>
                <w:lang w:val="fr-CI"/>
              </w:rPr>
              <w:t>Il existe des arrangements permanents avec l’ensemble des CTS qui devront servir de plate-forme aux États membres pour présenter la manière dont ils intègrent l’Agenda 2063 ou pour être sensibilisés sur la manière dont leurs domaines thématiques pourraient intégrer l’Agenda 2063.</w:t>
            </w:r>
          </w:p>
        </w:tc>
      </w:tr>
      <w:tr w:rsidR="007552BE" w:rsidRPr="0026525D" w:rsidTr="0026525D">
        <w:tc>
          <w:tcPr>
            <w:tcW w:w="6799" w:type="dxa"/>
          </w:tcPr>
          <w:p w:rsidR="007552BE" w:rsidRPr="0026525D" w:rsidRDefault="007552BE" w:rsidP="0026525D">
            <w:pPr>
              <w:pStyle w:val="ListParagraph"/>
              <w:numPr>
                <w:ilvl w:val="0"/>
                <w:numId w:val="28"/>
              </w:numPr>
              <w:ind w:left="454" w:hanging="425"/>
              <w:jc w:val="both"/>
              <w:rPr>
                <w:rFonts w:ascii="Arial" w:hAnsi="Arial" w:cs="Arial"/>
                <w:szCs w:val="24"/>
                <w:lang w:val="fr-CI"/>
              </w:rPr>
            </w:pPr>
            <w:r w:rsidRPr="0026525D">
              <w:rPr>
                <w:rFonts w:ascii="Arial" w:hAnsi="Arial" w:cs="Arial"/>
                <w:szCs w:val="24"/>
                <w:lang w:val="fr-CI"/>
              </w:rPr>
              <w:t>Donner des orientations sur les voies et moyens d’assurer que les partenariats stratégiques de l’Union africaine contribuent efficacement à la mise en œuvre des domaines prioritaires de l’Agenda 2063 et de son premier Plan décennal de mise en œuvre.</w:t>
            </w:r>
          </w:p>
        </w:tc>
        <w:tc>
          <w:tcPr>
            <w:tcW w:w="7270" w:type="dxa"/>
          </w:tcPr>
          <w:p w:rsidR="007552BE" w:rsidRPr="0026525D" w:rsidRDefault="007552BE" w:rsidP="00AE2F12">
            <w:pPr>
              <w:jc w:val="both"/>
              <w:rPr>
                <w:rFonts w:ascii="Arial" w:hAnsi="Arial" w:cs="Arial"/>
                <w:szCs w:val="24"/>
                <w:lang w:val="fr-CI"/>
              </w:rPr>
            </w:pPr>
            <w:r w:rsidRPr="0026525D">
              <w:rPr>
                <w:rFonts w:ascii="Arial" w:hAnsi="Arial" w:cs="Arial"/>
                <w:szCs w:val="24"/>
                <w:lang w:val="fr-CI"/>
              </w:rPr>
              <w:t>Consultations en cours.</w:t>
            </w:r>
          </w:p>
        </w:tc>
      </w:tr>
      <w:tr w:rsidR="007552BE" w:rsidRPr="0026525D" w:rsidTr="0026525D">
        <w:tc>
          <w:tcPr>
            <w:tcW w:w="6799" w:type="dxa"/>
          </w:tcPr>
          <w:p w:rsidR="007552BE" w:rsidRPr="0026525D" w:rsidRDefault="007552BE" w:rsidP="0026525D">
            <w:pPr>
              <w:pStyle w:val="ListParagraph"/>
              <w:numPr>
                <w:ilvl w:val="0"/>
                <w:numId w:val="28"/>
              </w:numPr>
              <w:ind w:left="454" w:hanging="425"/>
              <w:jc w:val="both"/>
              <w:rPr>
                <w:rFonts w:ascii="Arial" w:hAnsi="Arial" w:cs="Arial"/>
                <w:szCs w:val="24"/>
                <w:lang w:val="fr-CI"/>
              </w:rPr>
            </w:pPr>
            <w:r w:rsidRPr="0026525D">
              <w:rPr>
                <w:rFonts w:ascii="Arial" w:hAnsi="Arial" w:cs="Arial"/>
                <w:szCs w:val="24"/>
                <w:lang w:val="fr-CI"/>
              </w:rPr>
              <w:lastRenderedPageBreak/>
              <w:t>Donner des orientations sur la question de la rationalisation des Sommets de l’UA et des méthodes de travail de l’UA afin de permettre à l’Organisation de contribuer efficacement, par l’intermédiaire de ses organes délibérants, à la réalisation des objectifs et priorités de l’Agenda 2063 et de son premier Plan décennal de mise en œuvre.</w:t>
            </w:r>
          </w:p>
        </w:tc>
        <w:tc>
          <w:tcPr>
            <w:tcW w:w="7270" w:type="dxa"/>
          </w:tcPr>
          <w:p w:rsidR="007552BE" w:rsidRPr="0026525D" w:rsidRDefault="007552BE" w:rsidP="00AE2F12">
            <w:pPr>
              <w:jc w:val="both"/>
              <w:rPr>
                <w:rFonts w:ascii="Arial" w:hAnsi="Arial" w:cs="Arial"/>
                <w:szCs w:val="24"/>
                <w:lang w:val="fr-CI"/>
              </w:rPr>
            </w:pPr>
            <w:r w:rsidRPr="0026525D">
              <w:rPr>
                <w:rFonts w:ascii="Arial" w:hAnsi="Arial" w:cs="Arial"/>
                <w:szCs w:val="24"/>
                <w:lang w:val="fr-CI"/>
              </w:rPr>
              <w:t>Exercice en cours</w:t>
            </w:r>
          </w:p>
        </w:tc>
      </w:tr>
      <w:tr w:rsidR="007552BE" w:rsidRPr="00F05C47" w:rsidTr="0026525D">
        <w:tc>
          <w:tcPr>
            <w:tcW w:w="6799" w:type="dxa"/>
          </w:tcPr>
          <w:p w:rsidR="007552BE" w:rsidRPr="0026525D" w:rsidRDefault="007552BE" w:rsidP="0026525D">
            <w:pPr>
              <w:pStyle w:val="ListParagraph"/>
              <w:numPr>
                <w:ilvl w:val="0"/>
                <w:numId w:val="28"/>
              </w:numPr>
              <w:ind w:left="454" w:hanging="425"/>
              <w:jc w:val="both"/>
              <w:rPr>
                <w:rFonts w:ascii="Arial" w:hAnsi="Arial" w:cs="Arial"/>
                <w:szCs w:val="24"/>
                <w:lang w:val="fr-CI"/>
              </w:rPr>
            </w:pPr>
            <w:r w:rsidRPr="0026525D">
              <w:rPr>
                <w:rFonts w:ascii="Arial" w:hAnsi="Arial" w:cs="Arial"/>
                <w:szCs w:val="24"/>
                <w:lang w:val="fr-CI"/>
              </w:rPr>
              <w:t>À travers les mécanismes appropriés, surveiller le respect par tous du renforcement et du respect de toutes les décisions et positions communes de l’Union africaine dans les forums internationaux, par la Commission de l’UA, les organes, les États membres, les groupes d’ambassadeurs et les bureaux de représentation de l’UA à travers le monde.</w:t>
            </w:r>
          </w:p>
        </w:tc>
        <w:tc>
          <w:tcPr>
            <w:tcW w:w="7270" w:type="dxa"/>
          </w:tcPr>
          <w:p w:rsidR="007552BE" w:rsidRPr="0026525D" w:rsidRDefault="007552BE" w:rsidP="00AE2F12">
            <w:pPr>
              <w:jc w:val="both"/>
              <w:rPr>
                <w:rFonts w:ascii="Arial" w:hAnsi="Arial" w:cs="Arial"/>
                <w:szCs w:val="24"/>
                <w:lang w:val="fr-CI"/>
              </w:rPr>
            </w:pPr>
          </w:p>
        </w:tc>
      </w:tr>
      <w:tr w:rsidR="007552BE" w:rsidRPr="00F05C47" w:rsidTr="0026525D">
        <w:tc>
          <w:tcPr>
            <w:tcW w:w="6799" w:type="dxa"/>
          </w:tcPr>
          <w:p w:rsidR="007552BE" w:rsidRPr="0026525D" w:rsidRDefault="007552BE" w:rsidP="0026525D">
            <w:pPr>
              <w:pStyle w:val="ListParagraph"/>
              <w:numPr>
                <w:ilvl w:val="0"/>
                <w:numId w:val="28"/>
              </w:numPr>
              <w:ind w:left="454" w:hanging="425"/>
              <w:jc w:val="both"/>
              <w:rPr>
                <w:rFonts w:ascii="Arial" w:hAnsi="Arial" w:cs="Arial"/>
                <w:szCs w:val="24"/>
                <w:lang w:val="fr-CI"/>
              </w:rPr>
            </w:pPr>
            <w:r w:rsidRPr="0026525D">
              <w:rPr>
                <w:rFonts w:ascii="Arial" w:hAnsi="Arial" w:cs="Arial"/>
                <w:szCs w:val="24"/>
                <w:lang w:val="fr-CI"/>
              </w:rPr>
              <w:t>À travers les retraites ministérielles, formuler des recommandations et des propositions appropriées sur les questions relevant de son mandat au Conseil exécutif de l’UA et à la Conférence.</w:t>
            </w:r>
          </w:p>
        </w:tc>
        <w:tc>
          <w:tcPr>
            <w:tcW w:w="7270" w:type="dxa"/>
          </w:tcPr>
          <w:p w:rsidR="007552BE" w:rsidRPr="0026525D" w:rsidRDefault="007552BE" w:rsidP="00AE2F12">
            <w:pPr>
              <w:jc w:val="both"/>
              <w:rPr>
                <w:rFonts w:ascii="Arial" w:hAnsi="Arial" w:cs="Arial"/>
                <w:szCs w:val="24"/>
                <w:lang w:val="fr-CI"/>
              </w:rPr>
            </w:pPr>
          </w:p>
        </w:tc>
      </w:tr>
      <w:tr w:rsidR="007552BE" w:rsidRPr="00F05C47" w:rsidTr="0026525D">
        <w:tc>
          <w:tcPr>
            <w:tcW w:w="6799" w:type="dxa"/>
          </w:tcPr>
          <w:p w:rsidR="007552BE" w:rsidRPr="0026525D" w:rsidRDefault="007552BE" w:rsidP="0026525D">
            <w:pPr>
              <w:pStyle w:val="ListParagraph"/>
              <w:numPr>
                <w:ilvl w:val="0"/>
                <w:numId w:val="28"/>
              </w:numPr>
              <w:ind w:left="454" w:hanging="425"/>
              <w:jc w:val="both"/>
              <w:rPr>
                <w:rFonts w:ascii="Arial" w:hAnsi="Arial" w:cs="Arial"/>
                <w:szCs w:val="24"/>
                <w:lang w:val="fr-CI"/>
              </w:rPr>
            </w:pPr>
            <w:r w:rsidRPr="0026525D">
              <w:rPr>
                <w:rFonts w:ascii="Arial" w:hAnsi="Arial" w:cs="Arial"/>
                <w:szCs w:val="24"/>
                <w:lang w:val="fr-CI"/>
              </w:rPr>
              <w:t>Surveiller la rationalisation des CER afin d’assurer la réalisation effective de l’Agenda 2063.</w:t>
            </w:r>
          </w:p>
        </w:tc>
        <w:tc>
          <w:tcPr>
            <w:tcW w:w="7270" w:type="dxa"/>
          </w:tcPr>
          <w:p w:rsidR="007552BE" w:rsidRPr="0026525D" w:rsidRDefault="007552BE" w:rsidP="00AE2F12">
            <w:pPr>
              <w:jc w:val="both"/>
              <w:rPr>
                <w:rFonts w:ascii="Arial" w:hAnsi="Arial" w:cs="Arial"/>
                <w:szCs w:val="24"/>
                <w:lang w:val="fr-CI"/>
              </w:rPr>
            </w:pPr>
          </w:p>
        </w:tc>
      </w:tr>
      <w:tr w:rsidR="007552BE" w:rsidRPr="00F05C47" w:rsidTr="0026525D">
        <w:tc>
          <w:tcPr>
            <w:tcW w:w="6799" w:type="dxa"/>
          </w:tcPr>
          <w:p w:rsidR="007552BE" w:rsidRPr="0026525D" w:rsidRDefault="007552BE" w:rsidP="0026525D">
            <w:pPr>
              <w:pStyle w:val="ListParagraph"/>
              <w:numPr>
                <w:ilvl w:val="0"/>
                <w:numId w:val="28"/>
              </w:numPr>
              <w:ind w:left="454" w:hanging="425"/>
              <w:jc w:val="both"/>
              <w:rPr>
                <w:rFonts w:ascii="Arial" w:hAnsi="Arial" w:cs="Arial"/>
                <w:szCs w:val="24"/>
                <w:lang w:val="fr-CI"/>
              </w:rPr>
            </w:pPr>
            <w:r w:rsidRPr="0026525D">
              <w:rPr>
                <w:rFonts w:ascii="Arial" w:hAnsi="Arial" w:cs="Arial"/>
                <w:szCs w:val="24"/>
                <w:lang w:val="fr-CI"/>
              </w:rPr>
              <w:t>S’acquitter de toute autre mission conforme au mandat qui lui sera confié par le Conseil exécutif.</w:t>
            </w:r>
          </w:p>
        </w:tc>
        <w:tc>
          <w:tcPr>
            <w:tcW w:w="7270" w:type="dxa"/>
          </w:tcPr>
          <w:p w:rsidR="007552BE" w:rsidRPr="0026525D" w:rsidRDefault="007552BE" w:rsidP="00AE2F12">
            <w:pPr>
              <w:jc w:val="both"/>
              <w:rPr>
                <w:rFonts w:ascii="Arial" w:hAnsi="Arial" w:cs="Arial"/>
                <w:szCs w:val="24"/>
                <w:lang w:val="fr-CI"/>
              </w:rPr>
            </w:pPr>
          </w:p>
        </w:tc>
      </w:tr>
    </w:tbl>
    <w:p w:rsidR="008C0ED5" w:rsidRPr="004366FD" w:rsidRDefault="008C0ED5" w:rsidP="00AE2F12">
      <w:pPr>
        <w:spacing w:after="0" w:line="240" w:lineRule="auto"/>
        <w:jc w:val="both"/>
        <w:rPr>
          <w:rFonts w:ascii="Arial" w:hAnsi="Arial" w:cs="Arial"/>
          <w:sz w:val="24"/>
          <w:szCs w:val="24"/>
          <w:lang w:val="fr-CI"/>
        </w:rPr>
      </w:pPr>
    </w:p>
    <w:p w:rsidR="00BC1407" w:rsidRPr="004366FD" w:rsidRDefault="00BC1407" w:rsidP="00AE2F12">
      <w:pPr>
        <w:spacing w:after="0" w:line="240" w:lineRule="auto"/>
        <w:contextualSpacing/>
        <w:jc w:val="both"/>
        <w:rPr>
          <w:rFonts w:ascii="Arial" w:hAnsi="Arial" w:cs="Arial"/>
          <w:bCs/>
          <w:sz w:val="24"/>
          <w:szCs w:val="24"/>
          <w:lang w:val="fr-CI"/>
        </w:rPr>
      </w:pPr>
      <w:r w:rsidRPr="004366FD">
        <w:rPr>
          <w:rFonts w:ascii="Arial" w:hAnsi="Arial" w:cs="Arial"/>
          <w:bCs/>
          <w:sz w:val="24"/>
          <w:szCs w:val="24"/>
          <w:lang w:val="fr-CI"/>
        </w:rPr>
        <w:t xml:space="preserve"> </w:t>
      </w:r>
    </w:p>
    <w:p w:rsidR="00BC1407" w:rsidRPr="004366FD" w:rsidRDefault="00BC1407" w:rsidP="00AE2F12">
      <w:pPr>
        <w:spacing w:after="0" w:line="240" w:lineRule="auto"/>
        <w:contextualSpacing/>
        <w:jc w:val="both"/>
        <w:rPr>
          <w:rFonts w:ascii="Arial" w:hAnsi="Arial" w:cs="Arial"/>
          <w:bCs/>
          <w:sz w:val="24"/>
          <w:szCs w:val="24"/>
          <w:lang w:val="fr-CI"/>
        </w:rPr>
        <w:sectPr w:rsidR="00BC1407" w:rsidRPr="004366FD" w:rsidSect="00F110E9">
          <w:footerReference w:type="default" r:id="rId11"/>
          <w:pgSz w:w="16838" w:h="11906" w:orient="landscape"/>
          <w:pgMar w:top="1800" w:right="1080" w:bottom="1800" w:left="1253" w:header="720" w:footer="720" w:gutter="0"/>
          <w:cols w:space="720"/>
          <w:docGrid w:linePitch="360"/>
        </w:sectPr>
      </w:pPr>
    </w:p>
    <w:p w:rsidR="004366FD" w:rsidRPr="004366FD" w:rsidRDefault="004366FD" w:rsidP="00AE2F12">
      <w:pPr>
        <w:spacing w:after="0" w:line="240" w:lineRule="auto"/>
        <w:jc w:val="both"/>
        <w:rPr>
          <w:rFonts w:ascii="Arial" w:eastAsia="Calibri" w:hAnsi="Arial" w:cs="Arial"/>
          <w:b/>
          <w:bCs/>
          <w:sz w:val="24"/>
          <w:szCs w:val="24"/>
          <w:lang w:val="fr-CI"/>
        </w:rPr>
      </w:pPr>
    </w:p>
    <w:p w:rsidR="007552BE" w:rsidRPr="004366FD" w:rsidRDefault="007552BE" w:rsidP="0026525D">
      <w:pPr>
        <w:pStyle w:val="ListParagraph"/>
        <w:numPr>
          <w:ilvl w:val="0"/>
          <w:numId w:val="29"/>
        </w:numPr>
        <w:spacing w:after="0" w:line="240" w:lineRule="auto"/>
        <w:ind w:hanging="720"/>
        <w:rPr>
          <w:rFonts w:ascii="Arial" w:eastAsia="Calibri" w:hAnsi="Arial" w:cs="Arial"/>
          <w:b/>
          <w:bCs/>
          <w:sz w:val="24"/>
          <w:szCs w:val="24"/>
          <w:lang w:val="fr-CI"/>
        </w:rPr>
      </w:pPr>
      <w:r w:rsidRPr="004366FD">
        <w:rPr>
          <w:rFonts w:ascii="Arial" w:eastAsia="Calibri" w:hAnsi="Arial" w:cs="Arial"/>
          <w:b/>
          <w:bCs/>
          <w:sz w:val="24"/>
          <w:szCs w:val="24"/>
          <w:lang w:val="fr-CI"/>
        </w:rPr>
        <w:t>Rapport d’état d’avancement/</w:t>
      </w:r>
      <w:r w:rsidRPr="00750DF1">
        <w:rPr>
          <w:rFonts w:ascii="Arial" w:eastAsia="Calibri" w:hAnsi="Arial" w:cs="Arial"/>
          <w:b/>
          <w:bCs/>
          <w:sz w:val="24"/>
          <w:szCs w:val="24"/>
          <w:lang w:val="fr-CI"/>
        </w:rPr>
        <w:t>Mesures soumise</w:t>
      </w:r>
      <w:r w:rsidR="00E10622" w:rsidRPr="00750DF1">
        <w:rPr>
          <w:rFonts w:ascii="Arial" w:eastAsia="Calibri" w:hAnsi="Arial" w:cs="Arial"/>
          <w:b/>
          <w:bCs/>
          <w:sz w:val="24"/>
          <w:szCs w:val="24"/>
          <w:lang w:val="fr-CI"/>
        </w:rPr>
        <w:t>s</w:t>
      </w:r>
      <w:r w:rsidRPr="00750DF1">
        <w:rPr>
          <w:rFonts w:ascii="Arial" w:eastAsia="Calibri" w:hAnsi="Arial" w:cs="Arial"/>
          <w:b/>
          <w:bCs/>
          <w:sz w:val="24"/>
          <w:szCs w:val="24"/>
          <w:lang w:val="fr-CI"/>
        </w:rPr>
        <w:t xml:space="preserve"> aux</w:t>
      </w:r>
      <w:r w:rsidRPr="004366FD">
        <w:rPr>
          <w:rFonts w:ascii="Arial" w:eastAsia="Calibri" w:hAnsi="Arial" w:cs="Arial"/>
          <w:b/>
          <w:bCs/>
          <w:sz w:val="24"/>
          <w:szCs w:val="24"/>
          <w:lang w:val="fr-CI"/>
        </w:rPr>
        <w:t xml:space="preserve"> organes délibérants de l’UA pour examen </w:t>
      </w:r>
    </w:p>
    <w:p w:rsidR="007552BE" w:rsidRPr="004366FD" w:rsidRDefault="007552BE" w:rsidP="00AE2F12">
      <w:pPr>
        <w:spacing w:after="0" w:line="240" w:lineRule="auto"/>
        <w:jc w:val="both"/>
        <w:rPr>
          <w:rFonts w:ascii="Arial" w:hAnsi="Arial" w:cs="Arial"/>
          <w:sz w:val="24"/>
          <w:szCs w:val="24"/>
          <w:lang w:val="fr-CI"/>
        </w:rPr>
      </w:pPr>
    </w:p>
    <w:p w:rsidR="007552BE" w:rsidRPr="004366FD" w:rsidRDefault="007552BE" w:rsidP="0026525D">
      <w:pPr>
        <w:pStyle w:val="ListParagraph"/>
        <w:numPr>
          <w:ilvl w:val="1"/>
          <w:numId w:val="26"/>
        </w:numPr>
        <w:spacing w:after="0" w:line="240" w:lineRule="auto"/>
        <w:ind w:left="1418" w:hanging="709"/>
        <w:jc w:val="both"/>
        <w:rPr>
          <w:rFonts w:ascii="Arial" w:eastAsia="Calibri" w:hAnsi="Arial" w:cs="Arial"/>
          <w:b/>
          <w:bCs/>
          <w:sz w:val="24"/>
          <w:szCs w:val="24"/>
          <w:lang w:val="fr-CI"/>
        </w:rPr>
      </w:pPr>
      <w:r w:rsidRPr="004366FD">
        <w:rPr>
          <w:rFonts w:ascii="Arial" w:eastAsia="Calibri" w:hAnsi="Arial" w:cs="Arial"/>
          <w:b/>
          <w:bCs/>
          <w:sz w:val="24"/>
          <w:szCs w:val="24"/>
          <w:lang w:val="fr-CI"/>
        </w:rPr>
        <w:t>Internalisation de l’Agenda 2063</w:t>
      </w:r>
    </w:p>
    <w:p w:rsidR="007552BE" w:rsidRPr="004366FD" w:rsidRDefault="007552BE" w:rsidP="00AE2F12">
      <w:pPr>
        <w:spacing w:after="0" w:line="240" w:lineRule="auto"/>
        <w:jc w:val="both"/>
        <w:rPr>
          <w:rFonts w:ascii="Arial" w:hAnsi="Arial" w:cs="Arial"/>
          <w:sz w:val="24"/>
          <w:szCs w:val="24"/>
          <w:lang w:val="fr-CI"/>
        </w:rPr>
      </w:pPr>
    </w:p>
    <w:p w:rsidR="007552BE" w:rsidRPr="004366FD" w:rsidRDefault="007552BE" w:rsidP="004254DD">
      <w:pPr>
        <w:numPr>
          <w:ilvl w:val="0"/>
          <w:numId w:val="10"/>
        </w:numPr>
        <w:spacing w:after="0" w:line="240" w:lineRule="auto"/>
        <w:ind w:left="1985" w:hanging="567"/>
        <w:contextualSpacing/>
        <w:jc w:val="both"/>
        <w:rPr>
          <w:rFonts w:ascii="Arial" w:hAnsi="Arial" w:cs="Arial"/>
          <w:b/>
          <w:i/>
          <w:sz w:val="24"/>
          <w:szCs w:val="24"/>
          <w:lang w:val="fr-CI"/>
        </w:rPr>
      </w:pPr>
      <w:r w:rsidRPr="004366FD">
        <w:rPr>
          <w:rFonts w:ascii="Arial" w:hAnsi="Arial" w:cs="Arial"/>
          <w:b/>
          <w:i/>
          <w:sz w:val="24"/>
          <w:szCs w:val="24"/>
          <w:lang w:val="fr-CI"/>
        </w:rPr>
        <w:t>Internalisation au niveau des États membres</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D24221">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Le premier Plan décennal de mise en œuvre de l’Agenda 2063 est de plus en plus intégré dans les cadres nationaux de planification des États membres. Cela est démontré par le grand enthousiasme dans les 3</w:t>
      </w:r>
      <w:r w:rsidR="00D24221">
        <w:rPr>
          <w:rFonts w:ascii="Arial" w:hAnsi="Arial" w:cs="Arial"/>
          <w:sz w:val="24"/>
          <w:szCs w:val="24"/>
          <w:lang w:val="fr-CI"/>
        </w:rPr>
        <w:t>2</w:t>
      </w:r>
      <w:r w:rsidRPr="004366FD">
        <w:rPr>
          <w:rFonts w:ascii="Arial" w:hAnsi="Arial" w:cs="Arial"/>
          <w:sz w:val="24"/>
          <w:szCs w:val="24"/>
          <w:lang w:val="fr-CI"/>
        </w:rPr>
        <w:t xml:space="preserve"> pays visités, la bonne presse auprès du public au plus haut niveau, ainsi que par la réponse positive qu’a noté</w:t>
      </w:r>
      <w:r w:rsidR="00BF6120">
        <w:rPr>
          <w:rFonts w:ascii="Arial" w:hAnsi="Arial" w:cs="Arial"/>
          <w:sz w:val="24"/>
          <w:szCs w:val="24"/>
          <w:lang w:val="fr-CI"/>
        </w:rPr>
        <w:t>e</w:t>
      </w:r>
      <w:r w:rsidRPr="004366FD">
        <w:rPr>
          <w:rFonts w:ascii="Arial" w:hAnsi="Arial" w:cs="Arial"/>
          <w:sz w:val="24"/>
          <w:szCs w:val="24"/>
          <w:lang w:val="fr-CI"/>
        </w:rPr>
        <w:t xml:space="preserve"> la Commission.</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Les objectifs visés par les missions d’internalisation sont les suivants :</w:t>
      </w:r>
    </w:p>
    <w:p w:rsidR="004254DD" w:rsidRPr="004366FD" w:rsidRDefault="004254DD" w:rsidP="00AE2F12">
      <w:pPr>
        <w:spacing w:after="0" w:line="240" w:lineRule="auto"/>
        <w:contextualSpacing/>
        <w:jc w:val="both"/>
        <w:rPr>
          <w:rFonts w:ascii="Arial" w:hAnsi="Arial" w:cs="Arial"/>
          <w:sz w:val="24"/>
          <w:szCs w:val="24"/>
          <w:lang w:val="fr-CI"/>
        </w:rPr>
      </w:pPr>
    </w:p>
    <w:p w:rsidR="007552BE" w:rsidRPr="004366FD" w:rsidRDefault="004254DD" w:rsidP="004254DD">
      <w:pPr>
        <w:numPr>
          <w:ilvl w:val="0"/>
          <w:numId w:val="9"/>
        </w:numPr>
        <w:spacing w:after="0" w:line="240" w:lineRule="auto"/>
        <w:ind w:left="1276" w:hanging="567"/>
        <w:contextualSpacing/>
        <w:jc w:val="both"/>
        <w:rPr>
          <w:rFonts w:ascii="Arial" w:hAnsi="Arial" w:cs="Arial"/>
          <w:sz w:val="24"/>
          <w:szCs w:val="24"/>
          <w:lang w:val="fr-CI"/>
        </w:rPr>
      </w:pPr>
      <w:r>
        <w:rPr>
          <w:rFonts w:ascii="Arial" w:hAnsi="Arial" w:cs="Arial"/>
          <w:sz w:val="24"/>
          <w:szCs w:val="24"/>
          <w:lang w:val="fr-CI"/>
        </w:rPr>
        <w:t>r</w:t>
      </w:r>
      <w:r w:rsidR="007552BE" w:rsidRPr="004366FD">
        <w:rPr>
          <w:rFonts w:ascii="Arial" w:hAnsi="Arial" w:cs="Arial"/>
          <w:sz w:val="24"/>
          <w:szCs w:val="24"/>
          <w:lang w:val="fr-CI"/>
        </w:rPr>
        <w:t>enforcer la prise de conscience, l’engagement et l’appropriation par les institutions étatiques</w:t>
      </w:r>
      <w:r w:rsidR="00331E1D">
        <w:rPr>
          <w:rFonts w:ascii="Arial" w:hAnsi="Arial" w:cs="Arial"/>
          <w:sz w:val="24"/>
          <w:szCs w:val="24"/>
          <w:lang w:val="fr-CI"/>
        </w:rPr>
        <w:t>/</w:t>
      </w:r>
      <w:r w:rsidR="007552BE" w:rsidRPr="004366FD">
        <w:rPr>
          <w:rFonts w:ascii="Arial" w:hAnsi="Arial" w:cs="Arial"/>
          <w:sz w:val="24"/>
          <w:szCs w:val="24"/>
          <w:lang w:val="fr-CI"/>
        </w:rPr>
        <w:t xml:space="preserve">les citoyens de l’Agenda 2063 afin de </w:t>
      </w:r>
      <w:r w:rsidR="007552BE" w:rsidRPr="004366FD">
        <w:rPr>
          <w:rFonts w:ascii="Arial" w:hAnsi="Arial" w:cs="Arial"/>
          <w:bCs/>
          <w:sz w:val="24"/>
          <w:szCs w:val="24"/>
          <w:lang w:val="fr-CI"/>
        </w:rPr>
        <w:t>catalyser</w:t>
      </w:r>
      <w:r w:rsidR="007552BE" w:rsidRPr="004366FD">
        <w:rPr>
          <w:rFonts w:ascii="Arial" w:hAnsi="Arial" w:cs="Arial"/>
          <w:sz w:val="24"/>
          <w:szCs w:val="24"/>
          <w:lang w:val="fr-CI"/>
        </w:rPr>
        <w:t xml:space="preserve"> et de soutenir une dynamique de changement et de transformation ;</w:t>
      </w:r>
    </w:p>
    <w:p w:rsidR="004254DD" w:rsidRDefault="004254DD" w:rsidP="004254DD">
      <w:pPr>
        <w:spacing w:after="0" w:line="240" w:lineRule="auto"/>
        <w:ind w:left="1276"/>
        <w:contextualSpacing/>
        <w:jc w:val="both"/>
        <w:rPr>
          <w:rFonts w:ascii="Arial" w:hAnsi="Arial" w:cs="Arial"/>
          <w:sz w:val="24"/>
          <w:szCs w:val="24"/>
          <w:lang w:val="fr-CI"/>
        </w:rPr>
      </w:pPr>
    </w:p>
    <w:p w:rsidR="007552BE" w:rsidRPr="004366FD" w:rsidRDefault="004254DD" w:rsidP="004254DD">
      <w:pPr>
        <w:numPr>
          <w:ilvl w:val="0"/>
          <w:numId w:val="9"/>
        </w:numPr>
        <w:spacing w:after="0" w:line="240" w:lineRule="auto"/>
        <w:ind w:left="1276" w:hanging="567"/>
        <w:contextualSpacing/>
        <w:jc w:val="both"/>
        <w:rPr>
          <w:rFonts w:ascii="Arial" w:hAnsi="Arial" w:cs="Arial"/>
          <w:sz w:val="24"/>
          <w:szCs w:val="24"/>
          <w:lang w:val="fr-CI"/>
        </w:rPr>
      </w:pPr>
      <w:r>
        <w:rPr>
          <w:rFonts w:ascii="Arial" w:hAnsi="Arial" w:cs="Arial"/>
          <w:sz w:val="24"/>
          <w:szCs w:val="24"/>
          <w:lang w:val="fr-CI"/>
        </w:rPr>
        <w:t>v</w:t>
      </w:r>
      <w:r w:rsidR="007552BE" w:rsidRPr="004366FD">
        <w:rPr>
          <w:rFonts w:ascii="Arial" w:hAnsi="Arial" w:cs="Arial"/>
          <w:sz w:val="24"/>
          <w:szCs w:val="24"/>
          <w:lang w:val="fr-CI"/>
        </w:rPr>
        <w:t>eiller à ce que les États membres traduisent les engagements énoncés dans l’Agenda 2063 en visions nationales et en plans de développement et de transformation socio-économiques à moyen terme ; et</w:t>
      </w:r>
    </w:p>
    <w:p w:rsidR="004254DD" w:rsidRDefault="004254DD" w:rsidP="004254DD">
      <w:pPr>
        <w:spacing w:after="0" w:line="240" w:lineRule="auto"/>
        <w:ind w:left="1276"/>
        <w:contextualSpacing/>
        <w:jc w:val="both"/>
        <w:rPr>
          <w:rFonts w:ascii="Arial" w:hAnsi="Arial" w:cs="Arial"/>
          <w:sz w:val="24"/>
          <w:szCs w:val="24"/>
          <w:lang w:val="fr-CI"/>
        </w:rPr>
      </w:pPr>
    </w:p>
    <w:p w:rsidR="007552BE" w:rsidRPr="004366FD" w:rsidRDefault="004254DD" w:rsidP="004254DD">
      <w:pPr>
        <w:numPr>
          <w:ilvl w:val="0"/>
          <w:numId w:val="9"/>
        </w:numPr>
        <w:spacing w:after="0" w:line="240" w:lineRule="auto"/>
        <w:ind w:left="1276" w:hanging="567"/>
        <w:contextualSpacing/>
        <w:jc w:val="both"/>
        <w:rPr>
          <w:rFonts w:ascii="Arial" w:hAnsi="Arial" w:cs="Arial"/>
          <w:sz w:val="24"/>
          <w:szCs w:val="24"/>
          <w:lang w:val="fr-CI"/>
        </w:rPr>
      </w:pPr>
      <w:r>
        <w:rPr>
          <w:rFonts w:ascii="Arial" w:hAnsi="Arial" w:cs="Arial"/>
          <w:sz w:val="24"/>
          <w:szCs w:val="24"/>
          <w:lang w:val="fr-CI"/>
        </w:rPr>
        <w:t>f</w:t>
      </w:r>
      <w:r w:rsidR="007552BE" w:rsidRPr="004366FD">
        <w:rPr>
          <w:rFonts w:ascii="Arial" w:hAnsi="Arial" w:cs="Arial"/>
          <w:sz w:val="24"/>
          <w:szCs w:val="24"/>
          <w:lang w:val="fr-CI"/>
        </w:rPr>
        <w:t>aciliter les progrès collectifs enregistrés par les États membres dans la mise en œuvre de l’Agenda 2063, ce qui entraînera la transformation du continent et garantira que l’Afrique retrouve sa place légitime sur la scène mondiale, notamment sa capacité à financer son propre développement.</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D24221">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Les missions d’appui à l’internalisation dans les États membres ont permis de sensibiliser et d’aider les pays à entamer le processus d’intégration des objectifs, des priorités et des cibles des premiers Plans décennaux de mise en œuvre de l’Agenda 2063. À ce jour, 3</w:t>
      </w:r>
      <w:r w:rsidR="00D24221">
        <w:rPr>
          <w:rFonts w:ascii="Arial" w:hAnsi="Arial" w:cs="Arial"/>
          <w:sz w:val="24"/>
          <w:szCs w:val="24"/>
          <w:lang w:val="fr-CI"/>
        </w:rPr>
        <w:t>2</w:t>
      </w:r>
      <w:r w:rsidRPr="004366FD">
        <w:rPr>
          <w:rFonts w:ascii="Arial" w:hAnsi="Arial" w:cs="Arial"/>
          <w:sz w:val="24"/>
          <w:szCs w:val="24"/>
          <w:lang w:val="fr-CI"/>
        </w:rPr>
        <w:t xml:space="preserve"> pays ont reçu des missions d’appui menées par la Commission de l’UA.</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La liste des pays déjà couverts par les missions est la suivante :</w:t>
      </w:r>
    </w:p>
    <w:p w:rsidR="007552BE" w:rsidRPr="004366FD" w:rsidRDefault="007552BE" w:rsidP="00AE2F12">
      <w:pPr>
        <w:spacing w:after="0" w:line="240" w:lineRule="auto"/>
        <w:contextualSpacing/>
        <w:jc w:val="both"/>
        <w:rPr>
          <w:rFonts w:ascii="Arial" w:hAnsi="Arial" w:cs="Arial"/>
          <w:sz w:val="24"/>
          <w:szCs w:val="24"/>
          <w:lang w:val="fr-CI"/>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43"/>
        <w:gridCol w:w="1559"/>
        <w:gridCol w:w="1984"/>
        <w:gridCol w:w="1843"/>
      </w:tblGrid>
      <w:tr w:rsidR="007552BE" w:rsidRPr="004254DD" w:rsidTr="004254DD">
        <w:trPr>
          <w:jc w:val="center"/>
        </w:trPr>
        <w:tc>
          <w:tcPr>
            <w:tcW w:w="1980" w:type="dxa"/>
            <w:shd w:val="clear" w:color="auto" w:fill="auto"/>
            <w:vAlign w:val="center"/>
          </w:tcPr>
          <w:p w:rsidR="007552BE" w:rsidRPr="004254DD" w:rsidRDefault="007552BE" w:rsidP="004254DD">
            <w:pPr>
              <w:spacing w:after="0" w:line="240" w:lineRule="auto"/>
              <w:contextualSpacing/>
              <w:jc w:val="center"/>
              <w:rPr>
                <w:rFonts w:ascii="Arial" w:hAnsi="Arial" w:cs="Arial"/>
                <w:b/>
                <w:szCs w:val="24"/>
                <w:lang w:val="fr-CI"/>
              </w:rPr>
            </w:pPr>
            <w:r w:rsidRPr="004254DD">
              <w:rPr>
                <w:rFonts w:ascii="Arial" w:hAnsi="Arial" w:cs="Arial"/>
                <w:b/>
                <w:szCs w:val="24"/>
                <w:lang w:val="fr-CI"/>
              </w:rPr>
              <w:t>Afrique Centrale</w:t>
            </w:r>
          </w:p>
        </w:tc>
        <w:tc>
          <w:tcPr>
            <w:tcW w:w="1843" w:type="dxa"/>
            <w:shd w:val="clear" w:color="auto" w:fill="auto"/>
            <w:vAlign w:val="center"/>
          </w:tcPr>
          <w:p w:rsidR="007552BE" w:rsidRPr="004254DD" w:rsidRDefault="007552BE" w:rsidP="004254DD">
            <w:pPr>
              <w:spacing w:after="0" w:line="240" w:lineRule="auto"/>
              <w:contextualSpacing/>
              <w:jc w:val="center"/>
              <w:rPr>
                <w:rFonts w:ascii="Arial" w:hAnsi="Arial" w:cs="Arial"/>
                <w:b/>
                <w:szCs w:val="24"/>
                <w:lang w:val="fr-CI"/>
              </w:rPr>
            </w:pPr>
            <w:r w:rsidRPr="004254DD">
              <w:rPr>
                <w:rFonts w:ascii="Arial" w:hAnsi="Arial" w:cs="Arial"/>
                <w:b/>
                <w:szCs w:val="24"/>
                <w:lang w:val="fr-CI"/>
              </w:rPr>
              <w:t>Afrique de l’Est</w:t>
            </w:r>
          </w:p>
        </w:tc>
        <w:tc>
          <w:tcPr>
            <w:tcW w:w="1559" w:type="dxa"/>
            <w:shd w:val="clear" w:color="auto" w:fill="auto"/>
            <w:vAlign w:val="center"/>
          </w:tcPr>
          <w:p w:rsidR="007552BE" w:rsidRPr="004254DD" w:rsidRDefault="007552BE" w:rsidP="004254DD">
            <w:pPr>
              <w:spacing w:after="0" w:line="240" w:lineRule="auto"/>
              <w:contextualSpacing/>
              <w:jc w:val="center"/>
              <w:rPr>
                <w:rFonts w:ascii="Arial" w:hAnsi="Arial" w:cs="Arial"/>
                <w:b/>
                <w:szCs w:val="24"/>
                <w:lang w:val="fr-CI"/>
              </w:rPr>
            </w:pPr>
            <w:r w:rsidRPr="004254DD">
              <w:rPr>
                <w:rFonts w:ascii="Arial" w:hAnsi="Arial" w:cs="Arial"/>
                <w:b/>
                <w:szCs w:val="24"/>
                <w:lang w:val="fr-CI"/>
              </w:rPr>
              <w:t>Afrique du Nord</w:t>
            </w:r>
          </w:p>
        </w:tc>
        <w:tc>
          <w:tcPr>
            <w:tcW w:w="1984" w:type="dxa"/>
            <w:shd w:val="clear" w:color="auto" w:fill="auto"/>
            <w:vAlign w:val="center"/>
          </w:tcPr>
          <w:p w:rsidR="007552BE" w:rsidRPr="004254DD" w:rsidRDefault="007552BE" w:rsidP="004254DD">
            <w:pPr>
              <w:spacing w:after="0" w:line="240" w:lineRule="auto"/>
              <w:contextualSpacing/>
              <w:jc w:val="center"/>
              <w:rPr>
                <w:rFonts w:ascii="Arial" w:hAnsi="Arial" w:cs="Arial"/>
                <w:b/>
                <w:szCs w:val="24"/>
                <w:lang w:val="fr-CI"/>
              </w:rPr>
            </w:pPr>
            <w:r w:rsidRPr="004254DD">
              <w:rPr>
                <w:rFonts w:ascii="Arial" w:hAnsi="Arial" w:cs="Arial"/>
                <w:b/>
                <w:szCs w:val="24"/>
                <w:lang w:val="fr-CI"/>
              </w:rPr>
              <w:t>Afrique australe</w:t>
            </w:r>
          </w:p>
        </w:tc>
        <w:tc>
          <w:tcPr>
            <w:tcW w:w="1843" w:type="dxa"/>
            <w:shd w:val="clear" w:color="auto" w:fill="auto"/>
            <w:vAlign w:val="center"/>
          </w:tcPr>
          <w:p w:rsidR="007552BE" w:rsidRPr="004254DD" w:rsidRDefault="007552BE" w:rsidP="004254DD">
            <w:pPr>
              <w:spacing w:after="0" w:line="240" w:lineRule="auto"/>
              <w:contextualSpacing/>
              <w:jc w:val="center"/>
              <w:rPr>
                <w:rFonts w:ascii="Arial" w:hAnsi="Arial" w:cs="Arial"/>
                <w:b/>
                <w:szCs w:val="24"/>
                <w:lang w:val="fr-CI"/>
              </w:rPr>
            </w:pPr>
            <w:r w:rsidRPr="004254DD">
              <w:rPr>
                <w:rFonts w:ascii="Arial" w:hAnsi="Arial" w:cs="Arial"/>
                <w:b/>
                <w:szCs w:val="24"/>
                <w:lang w:val="fr-CI"/>
              </w:rPr>
              <w:t>Afrique de l’Ouest</w:t>
            </w:r>
          </w:p>
        </w:tc>
      </w:tr>
      <w:tr w:rsidR="007552BE" w:rsidRPr="004254DD" w:rsidTr="004366FD">
        <w:trPr>
          <w:jc w:val="center"/>
        </w:trPr>
        <w:tc>
          <w:tcPr>
            <w:tcW w:w="1980" w:type="dxa"/>
            <w:shd w:val="clear" w:color="auto" w:fill="auto"/>
          </w:tcPr>
          <w:p w:rsidR="007552BE" w:rsidRPr="004254DD" w:rsidRDefault="007552BE" w:rsidP="004254DD">
            <w:pPr>
              <w:pStyle w:val="ListParagraph"/>
              <w:numPr>
                <w:ilvl w:val="4"/>
                <w:numId w:val="18"/>
              </w:numPr>
              <w:tabs>
                <w:tab w:val="left" w:pos="454"/>
              </w:tabs>
              <w:spacing w:after="0" w:line="240" w:lineRule="auto"/>
              <w:ind w:left="454" w:hanging="454"/>
              <w:jc w:val="both"/>
              <w:rPr>
                <w:rFonts w:ascii="Arial" w:hAnsi="Arial" w:cs="Arial"/>
                <w:szCs w:val="24"/>
                <w:lang w:val="fr-CI"/>
              </w:rPr>
            </w:pPr>
            <w:r w:rsidRPr="004254DD">
              <w:rPr>
                <w:rFonts w:ascii="Arial" w:hAnsi="Arial" w:cs="Arial"/>
                <w:szCs w:val="24"/>
                <w:lang w:val="fr-CI"/>
              </w:rPr>
              <w:t>Cameroun</w:t>
            </w:r>
          </w:p>
          <w:p w:rsidR="007552BE" w:rsidRPr="004254DD" w:rsidRDefault="007552BE" w:rsidP="004254DD">
            <w:pPr>
              <w:pStyle w:val="ListParagraph"/>
              <w:numPr>
                <w:ilvl w:val="4"/>
                <w:numId w:val="18"/>
              </w:numPr>
              <w:tabs>
                <w:tab w:val="left" w:pos="454"/>
              </w:tabs>
              <w:spacing w:after="0" w:line="240" w:lineRule="auto"/>
              <w:ind w:left="454" w:hanging="454"/>
              <w:jc w:val="both"/>
              <w:rPr>
                <w:rFonts w:ascii="Arial" w:hAnsi="Arial" w:cs="Arial"/>
                <w:szCs w:val="24"/>
                <w:lang w:val="fr-CI"/>
              </w:rPr>
            </w:pPr>
            <w:r w:rsidRPr="004254DD">
              <w:rPr>
                <w:rFonts w:ascii="Arial" w:hAnsi="Arial" w:cs="Arial"/>
                <w:szCs w:val="24"/>
                <w:lang w:val="fr-CI"/>
              </w:rPr>
              <w:t>République du Congo</w:t>
            </w:r>
          </w:p>
          <w:p w:rsidR="007552BE" w:rsidRPr="004254DD" w:rsidRDefault="007552BE" w:rsidP="004254DD">
            <w:pPr>
              <w:pStyle w:val="ListParagraph"/>
              <w:numPr>
                <w:ilvl w:val="4"/>
                <w:numId w:val="18"/>
              </w:numPr>
              <w:tabs>
                <w:tab w:val="left" w:pos="454"/>
              </w:tabs>
              <w:spacing w:after="0" w:line="240" w:lineRule="auto"/>
              <w:ind w:left="454" w:hanging="454"/>
              <w:jc w:val="both"/>
              <w:rPr>
                <w:rFonts w:ascii="Arial" w:hAnsi="Arial" w:cs="Arial"/>
                <w:szCs w:val="24"/>
                <w:lang w:val="fr-CI"/>
              </w:rPr>
            </w:pPr>
            <w:r w:rsidRPr="004254DD">
              <w:rPr>
                <w:rFonts w:ascii="Arial" w:hAnsi="Arial" w:cs="Arial"/>
                <w:szCs w:val="24"/>
                <w:lang w:val="fr-CI"/>
              </w:rPr>
              <w:t>RDC</w:t>
            </w:r>
          </w:p>
          <w:p w:rsidR="007552BE" w:rsidRPr="004254DD" w:rsidRDefault="007552BE" w:rsidP="004254DD">
            <w:pPr>
              <w:pStyle w:val="ListParagraph"/>
              <w:numPr>
                <w:ilvl w:val="4"/>
                <w:numId w:val="18"/>
              </w:numPr>
              <w:tabs>
                <w:tab w:val="left" w:pos="454"/>
              </w:tabs>
              <w:spacing w:after="0" w:line="240" w:lineRule="auto"/>
              <w:ind w:left="454" w:hanging="454"/>
              <w:jc w:val="both"/>
              <w:rPr>
                <w:rFonts w:ascii="Arial" w:hAnsi="Arial" w:cs="Arial"/>
                <w:b/>
                <w:szCs w:val="24"/>
                <w:lang w:val="fr-CI"/>
              </w:rPr>
            </w:pPr>
            <w:r w:rsidRPr="004254DD">
              <w:rPr>
                <w:rFonts w:ascii="Arial" w:hAnsi="Arial" w:cs="Arial"/>
                <w:szCs w:val="24"/>
                <w:lang w:val="fr-CI"/>
              </w:rPr>
              <w:t>Sao Tomé-et-Principe</w:t>
            </w:r>
          </w:p>
        </w:tc>
        <w:tc>
          <w:tcPr>
            <w:tcW w:w="1843" w:type="dxa"/>
            <w:shd w:val="clear" w:color="auto" w:fill="auto"/>
          </w:tcPr>
          <w:p w:rsidR="007552BE" w:rsidRPr="004254DD" w:rsidRDefault="007552BE" w:rsidP="004254DD">
            <w:pPr>
              <w:pStyle w:val="ListParagraph"/>
              <w:numPr>
                <w:ilvl w:val="0"/>
                <w:numId w:val="30"/>
              </w:numPr>
              <w:spacing w:after="0" w:line="240" w:lineRule="auto"/>
              <w:ind w:left="459" w:hanging="425"/>
              <w:jc w:val="both"/>
              <w:rPr>
                <w:rFonts w:ascii="Arial" w:hAnsi="Arial" w:cs="Arial"/>
                <w:szCs w:val="24"/>
                <w:lang w:val="fr-CI"/>
              </w:rPr>
            </w:pPr>
            <w:r w:rsidRPr="004254DD">
              <w:rPr>
                <w:rFonts w:ascii="Arial" w:hAnsi="Arial" w:cs="Arial"/>
                <w:szCs w:val="24"/>
                <w:lang w:val="fr-CI"/>
              </w:rPr>
              <w:t>Comores</w:t>
            </w:r>
          </w:p>
          <w:p w:rsidR="007552BE" w:rsidRPr="004254DD" w:rsidRDefault="007552BE" w:rsidP="004254DD">
            <w:pPr>
              <w:pStyle w:val="ListParagraph"/>
              <w:numPr>
                <w:ilvl w:val="0"/>
                <w:numId w:val="30"/>
              </w:numPr>
              <w:spacing w:after="0" w:line="240" w:lineRule="auto"/>
              <w:ind w:left="459" w:hanging="425"/>
              <w:jc w:val="both"/>
              <w:rPr>
                <w:rFonts w:ascii="Arial" w:hAnsi="Arial" w:cs="Arial"/>
                <w:szCs w:val="24"/>
                <w:lang w:val="fr-CI"/>
              </w:rPr>
            </w:pPr>
            <w:r w:rsidRPr="004254DD">
              <w:rPr>
                <w:rFonts w:ascii="Arial" w:hAnsi="Arial" w:cs="Arial"/>
                <w:szCs w:val="24"/>
                <w:lang w:val="fr-CI"/>
              </w:rPr>
              <w:t>Djibouti</w:t>
            </w:r>
          </w:p>
          <w:p w:rsidR="007552BE" w:rsidRPr="004254DD" w:rsidRDefault="007552BE" w:rsidP="004254DD">
            <w:pPr>
              <w:pStyle w:val="ListParagraph"/>
              <w:numPr>
                <w:ilvl w:val="0"/>
                <w:numId w:val="30"/>
              </w:numPr>
              <w:spacing w:after="0" w:line="240" w:lineRule="auto"/>
              <w:ind w:left="459" w:hanging="425"/>
              <w:jc w:val="both"/>
              <w:rPr>
                <w:rFonts w:ascii="Arial" w:hAnsi="Arial" w:cs="Arial"/>
                <w:szCs w:val="24"/>
                <w:lang w:val="fr-CI"/>
              </w:rPr>
            </w:pPr>
            <w:r w:rsidRPr="004254DD">
              <w:rPr>
                <w:rFonts w:ascii="Arial" w:hAnsi="Arial" w:cs="Arial"/>
                <w:szCs w:val="24"/>
                <w:lang w:val="fr-CI"/>
              </w:rPr>
              <w:t>Érythrée</w:t>
            </w:r>
          </w:p>
          <w:p w:rsidR="007552BE" w:rsidRPr="004254DD" w:rsidRDefault="007552BE" w:rsidP="004254DD">
            <w:pPr>
              <w:pStyle w:val="ListParagraph"/>
              <w:numPr>
                <w:ilvl w:val="0"/>
                <w:numId w:val="30"/>
              </w:numPr>
              <w:spacing w:after="0" w:line="240" w:lineRule="auto"/>
              <w:ind w:left="459" w:hanging="425"/>
              <w:jc w:val="both"/>
              <w:rPr>
                <w:rFonts w:ascii="Arial" w:hAnsi="Arial" w:cs="Arial"/>
                <w:szCs w:val="24"/>
                <w:lang w:val="fr-CI"/>
              </w:rPr>
            </w:pPr>
            <w:r w:rsidRPr="004254DD">
              <w:rPr>
                <w:rFonts w:ascii="Arial" w:hAnsi="Arial" w:cs="Arial"/>
                <w:szCs w:val="24"/>
                <w:lang w:val="fr-CI"/>
              </w:rPr>
              <w:t>Kenya</w:t>
            </w:r>
          </w:p>
          <w:p w:rsidR="007552BE" w:rsidRPr="004254DD" w:rsidRDefault="007552BE" w:rsidP="004254DD">
            <w:pPr>
              <w:pStyle w:val="ListParagraph"/>
              <w:numPr>
                <w:ilvl w:val="0"/>
                <w:numId w:val="30"/>
              </w:numPr>
              <w:spacing w:after="0" w:line="240" w:lineRule="auto"/>
              <w:ind w:left="459" w:hanging="425"/>
              <w:jc w:val="both"/>
              <w:rPr>
                <w:rFonts w:ascii="Arial" w:hAnsi="Arial" w:cs="Arial"/>
                <w:szCs w:val="24"/>
                <w:lang w:val="fr-CI"/>
              </w:rPr>
            </w:pPr>
            <w:r w:rsidRPr="004254DD">
              <w:rPr>
                <w:rFonts w:ascii="Arial" w:hAnsi="Arial" w:cs="Arial"/>
                <w:szCs w:val="24"/>
                <w:lang w:val="fr-CI"/>
              </w:rPr>
              <w:t>Maurice</w:t>
            </w:r>
          </w:p>
          <w:p w:rsidR="007552BE" w:rsidRPr="004254DD" w:rsidRDefault="007552BE" w:rsidP="004254DD">
            <w:pPr>
              <w:pStyle w:val="ListParagraph"/>
              <w:numPr>
                <w:ilvl w:val="0"/>
                <w:numId w:val="30"/>
              </w:numPr>
              <w:spacing w:after="0" w:line="240" w:lineRule="auto"/>
              <w:ind w:left="459" w:hanging="425"/>
              <w:jc w:val="both"/>
              <w:rPr>
                <w:rFonts w:ascii="Arial" w:hAnsi="Arial" w:cs="Arial"/>
                <w:szCs w:val="24"/>
                <w:lang w:val="fr-CI"/>
              </w:rPr>
            </w:pPr>
            <w:r w:rsidRPr="004254DD">
              <w:rPr>
                <w:rFonts w:ascii="Arial" w:hAnsi="Arial" w:cs="Arial"/>
                <w:szCs w:val="24"/>
                <w:lang w:val="fr-CI"/>
              </w:rPr>
              <w:t>Le Rwanda</w:t>
            </w:r>
          </w:p>
          <w:p w:rsidR="007552BE" w:rsidRPr="004254DD" w:rsidRDefault="007552BE" w:rsidP="004254DD">
            <w:pPr>
              <w:pStyle w:val="ListParagraph"/>
              <w:numPr>
                <w:ilvl w:val="0"/>
                <w:numId w:val="30"/>
              </w:numPr>
              <w:spacing w:after="0" w:line="240" w:lineRule="auto"/>
              <w:ind w:left="459" w:hanging="425"/>
              <w:jc w:val="both"/>
              <w:rPr>
                <w:rFonts w:ascii="Arial" w:hAnsi="Arial" w:cs="Arial"/>
                <w:szCs w:val="24"/>
                <w:lang w:val="fr-CI"/>
              </w:rPr>
            </w:pPr>
            <w:r w:rsidRPr="004254DD">
              <w:rPr>
                <w:rFonts w:ascii="Arial" w:hAnsi="Arial" w:cs="Arial"/>
                <w:szCs w:val="24"/>
                <w:lang w:val="fr-CI"/>
              </w:rPr>
              <w:t>Seychelles</w:t>
            </w:r>
          </w:p>
          <w:p w:rsidR="007552BE" w:rsidRPr="004254DD" w:rsidRDefault="007552BE" w:rsidP="004254DD">
            <w:pPr>
              <w:pStyle w:val="ListParagraph"/>
              <w:numPr>
                <w:ilvl w:val="0"/>
                <w:numId w:val="30"/>
              </w:numPr>
              <w:spacing w:after="0" w:line="240" w:lineRule="auto"/>
              <w:ind w:left="459" w:hanging="425"/>
              <w:jc w:val="both"/>
              <w:rPr>
                <w:rFonts w:ascii="Arial" w:hAnsi="Arial" w:cs="Arial"/>
                <w:b/>
                <w:szCs w:val="24"/>
                <w:lang w:val="fr-CI"/>
              </w:rPr>
            </w:pPr>
            <w:r w:rsidRPr="004254DD">
              <w:rPr>
                <w:rFonts w:ascii="Arial" w:hAnsi="Arial" w:cs="Arial"/>
                <w:szCs w:val="24"/>
                <w:lang w:val="fr-CI"/>
              </w:rPr>
              <w:t>Soudan</w:t>
            </w:r>
          </w:p>
        </w:tc>
        <w:tc>
          <w:tcPr>
            <w:tcW w:w="1559" w:type="dxa"/>
            <w:shd w:val="clear" w:color="auto" w:fill="auto"/>
          </w:tcPr>
          <w:p w:rsidR="007552BE" w:rsidRDefault="007552BE" w:rsidP="004254DD">
            <w:pPr>
              <w:pStyle w:val="ListParagraph"/>
              <w:numPr>
                <w:ilvl w:val="0"/>
                <w:numId w:val="31"/>
              </w:numPr>
              <w:spacing w:after="0" w:line="240" w:lineRule="auto"/>
              <w:ind w:left="329" w:hanging="329"/>
              <w:jc w:val="both"/>
              <w:rPr>
                <w:rFonts w:ascii="Arial" w:hAnsi="Arial" w:cs="Arial"/>
                <w:szCs w:val="24"/>
                <w:lang w:val="fr-CI"/>
              </w:rPr>
            </w:pPr>
            <w:r w:rsidRPr="004254DD">
              <w:rPr>
                <w:rFonts w:ascii="Arial" w:hAnsi="Arial" w:cs="Arial"/>
                <w:szCs w:val="24"/>
                <w:lang w:val="fr-CI"/>
              </w:rPr>
              <w:t>Algérie</w:t>
            </w:r>
          </w:p>
          <w:p w:rsidR="007552BE" w:rsidRPr="004254DD" w:rsidRDefault="004254DD" w:rsidP="004254DD">
            <w:pPr>
              <w:pStyle w:val="ListParagraph"/>
              <w:numPr>
                <w:ilvl w:val="0"/>
                <w:numId w:val="31"/>
              </w:numPr>
              <w:spacing w:after="0" w:line="240" w:lineRule="auto"/>
              <w:ind w:left="329" w:hanging="329"/>
              <w:jc w:val="both"/>
              <w:rPr>
                <w:rFonts w:ascii="Arial" w:hAnsi="Arial" w:cs="Arial"/>
                <w:szCs w:val="24"/>
                <w:lang w:val="fr-CI"/>
              </w:rPr>
            </w:pPr>
            <w:r w:rsidRPr="004254DD">
              <w:rPr>
                <w:rFonts w:ascii="Arial" w:hAnsi="Arial" w:cs="Arial"/>
                <w:szCs w:val="24"/>
                <w:lang w:val="fr-CI"/>
              </w:rPr>
              <w:t>Sahraoui</w:t>
            </w:r>
          </w:p>
        </w:tc>
        <w:tc>
          <w:tcPr>
            <w:tcW w:w="1984" w:type="dxa"/>
            <w:shd w:val="clear" w:color="auto" w:fill="auto"/>
          </w:tcPr>
          <w:p w:rsidR="007552BE" w:rsidRDefault="007552BE" w:rsidP="004254DD">
            <w:pPr>
              <w:pStyle w:val="ListParagraph"/>
              <w:numPr>
                <w:ilvl w:val="0"/>
                <w:numId w:val="32"/>
              </w:numPr>
              <w:spacing w:after="0" w:line="240" w:lineRule="auto"/>
              <w:ind w:left="459" w:hanging="425"/>
              <w:rPr>
                <w:rFonts w:ascii="Arial" w:hAnsi="Arial" w:cs="Arial"/>
                <w:szCs w:val="24"/>
                <w:lang w:val="fr-CI"/>
              </w:rPr>
            </w:pPr>
            <w:r w:rsidRPr="004254DD">
              <w:rPr>
                <w:rFonts w:ascii="Arial" w:hAnsi="Arial" w:cs="Arial"/>
                <w:szCs w:val="24"/>
                <w:lang w:val="fr-CI"/>
              </w:rPr>
              <w:t>Botswana</w:t>
            </w:r>
          </w:p>
          <w:p w:rsidR="007552BE" w:rsidRDefault="007552BE" w:rsidP="00AE2F12">
            <w:pPr>
              <w:pStyle w:val="ListParagraph"/>
              <w:numPr>
                <w:ilvl w:val="0"/>
                <w:numId w:val="32"/>
              </w:numPr>
              <w:spacing w:after="0" w:line="240" w:lineRule="auto"/>
              <w:ind w:left="459" w:hanging="425"/>
              <w:rPr>
                <w:rFonts w:ascii="Arial" w:hAnsi="Arial" w:cs="Arial"/>
                <w:szCs w:val="24"/>
                <w:lang w:val="fr-CI"/>
              </w:rPr>
            </w:pPr>
            <w:r w:rsidRPr="004254DD">
              <w:rPr>
                <w:rFonts w:ascii="Arial" w:hAnsi="Arial" w:cs="Arial"/>
                <w:szCs w:val="24"/>
                <w:lang w:val="fr-CI"/>
              </w:rPr>
              <w:t>Lesotho</w:t>
            </w:r>
          </w:p>
          <w:p w:rsidR="007552BE" w:rsidRDefault="007552BE" w:rsidP="00AE2F12">
            <w:pPr>
              <w:pStyle w:val="ListParagraph"/>
              <w:numPr>
                <w:ilvl w:val="0"/>
                <w:numId w:val="32"/>
              </w:numPr>
              <w:spacing w:after="0" w:line="240" w:lineRule="auto"/>
              <w:ind w:left="459" w:hanging="425"/>
              <w:rPr>
                <w:rFonts w:ascii="Arial" w:hAnsi="Arial" w:cs="Arial"/>
                <w:szCs w:val="24"/>
                <w:lang w:val="fr-CI"/>
              </w:rPr>
            </w:pPr>
            <w:r w:rsidRPr="004254DD">
              <w:rPr>
                <w:rFonts w:ascii="Arial" w:hAnsi="Arial" w:cs="Arial"/>
                <w:szCs w:val="24"/>
                <w:lang w:val="fr-CI"/>
              </w:rPr>
              <w:t>Malawi</w:t>
            </w:r>
          </w:p>
          <w:p w:rsidR="007552BE" w:rsidRDefault="007552BE" w:rsidP="00AE2F12">
            <w:pPr>
              <w:pStyle w:val="ListParagraph"/>
              <w:numPr>
                <w:ilvl w:val="0"/>
                <w:numId w:val="32"/>
              </w:numPr>
              <w:spacing w:after="0" w:line="240" w:lineRule="auto"/>
              <w:ind w:left="459" w:hanging="425"/>
              <w:rPr>
                <w:rFonts w:ascii="Arial" w:hAnsi="Arial" w:cs="Arial"/>
                <w:szCs w:val="24"/>
                <w:lang w:val="fr-CI"/>
              </w:rPr>
            </w:pPr>
            <w:r w:rsidRPr="004254DD">
              <w:rPr>
                <w:rFonts w:ascii="Arial" w:hAnsi="Arial" w:cs="Arial"/>
                <w:szCs w:val="24"/>
                <w:lang w:val="fr-CI"/>
              </w:rPr>
              <w:t>Mozambique</w:t>
            </w:r>
          </w:p>
          <w:p w:rsidR="007552BE" w:rsidRDefault="007552BE" w:rsidP="00AE2F12">
            <w:pPr>
              <w:pStyle w:val="ListParagraph"/>
              <w:numPr>
                <w:ilvl w:val="0"/>
                <w:numId w:val="32"/>
              </w:numPr>
              <w:spacing w:after="0" w:line="240" w:lineRule="auto"/>
              <w:ind w:left="459" w:hanging="425"/>
              <w:rPr>
                <w:rFonts w:ascii="Arial" w:hAnsi="Arial" w:cs="Arial"/>
                <w:szCs w:val="24"/>
                <w:lang w:val="fr-CI"/>
              </w:rPr>
            </w:pPr>
            <w:r w:rsidRPr="004254DD">
              <w:rPr>
                <w:rFonts w:ascii="Arial" w:hAnsi="Arial" w:cs="Arial"/>
                <w:szCs w:val="24"/>
                <w:lang w:val="fr-CI"/>
              </w:rPr>
              <w:t>Namibie</w:t>
            </w:r>
          </w:p>
          <w:p w:rsidR="007552BE" w:rsidRDefault="007552BE" w:rsidP="00AE2F12">
            <w:pPr>
              <w:pStyle w:val="ListParagraph"/>
              <w:numPr>
                <w:ilvl w:val="0"/>
                <w:numId w:val="32"/>
              </w:numPr>
              <w:spacing w:after="0" w:line="240" w:lineRule="auto"/>
              <w:ind w:left="459" w:hanging="425"/>
              <w:rPr>
                <w:rFonts w:ascii="Arial" w:hAnsi="Arial" w:cs="Arial"/>
                <w:szCs w:val="24"/>
                <w:lang w:val="fr-CI"/>
              </w:rPr>
            </w:pPr>
            <w:r w:rsidRPr="004254DD">
              <w:rPr>
                <w:rFonts w:ascii="Arial" w:hAnsi="Arial" w:cs="Arial"/>
                <w:szCs w:val="24"/>
                <w:lang w:val="fr-CI"/>
              </w:rPr>
              <w:t>Swaziland</w:t>
            </w:r>
          </w:p>
          <w:p w:rsidR="007552BE" w:rsidRDefault="007552BE" w:rsidP="00AE2F12">
            <w:pPr>
              <w:pStyle w:val="ListParagraph"/>
              <w:numPr>
                <w:ilvl w:val="0"/>
                <w:numId w:val="32"/>
              </w:numPr>
              <w:spacing w:after="0" w:line="240" w:lineRule="auto"/>
              <w:ind w:left="459" w:hanging="425"/>
              <w:rPr>
                <w:rFonts w:ascii="Arial" w:hAnsi="Arial" w:cs="Arial"/>
                <w:szCs w:val="24"/>
                <w:lang w:val="fr-CI"/>
              </w:rPr>
            </w:pPr>
            <w:r w:rsidRPr="004254DD">
              <w:rPr>
                <w:rFonts w:ascii="Arial" w:hAnsi="Arial" w:cs="Arial"/>
                <w:szCs w:val="24"/>
                <w:lang w:val="fr-CI"/>
              </w:rPr>
              <w:t>Zambie</w:t>
            </w:r>
          </w:p>
          <w:p w:rsidR="007552BE" w:rsidRPr="004254DD" w:rsidRDefault="007552BE" w:rsidP="00AE2F12">
            <w:pPr>
              <w:pStyle w:val="ListParagraph"/>
              <w:numPr>
                <w:ilvl w:val="0"/>
                <w:numId w:val="32"/>
              </w:numPr>
              <w:spacing w:after="0" w:line="240" w:lineRule="auto"/>
              <w:ind w:left="459" w:hanging="425"/>
              <w:rPr>
                <w:rFonts w:ascii="Arial" w:hAnsi="Arial" w:cs="Arial"/>
                <w:szCs w:val="24"/>
                <w:lang w:val="fr-CI"/>
              </w:rPr>
            </w:pPr>
            <w:r w:rsidRPr="004254DD">
              <w:rPr>
                <w:rFonts w:ascii="Arial" w:hAnsi="Arial" w:cs="Arial"/>
                <w:szCs w:val="24"/>
                <w:lang w:val="fr-CI"/>
              </w:rPr>
              <w:t>Zimbabwe</w:t>
            </w:r>
          </w:p>
        </w:tc>
        <w:tc>
          <w:tcPr>
            <w:tcW w:w="1843" w:type="dxa"/>
            <w:shd w:val="clear" w:color="auto" w:fill="auto"/>
          </w:tcPr>
          <w:p w:rsidR="007552BE" w:rsidRDefault="007552BE" w:rsidP="004254DD">
            <w:pPr>
              <w:pStyle w:val="ListParagraph"/>
              <w:numPr>
                <w:ilvl w:val="0"/>
                <w:numId w:val="33"/>
              </w:numPr>
              <w:spacing w:after="0" w:line="240" w:lineRule="auto"/>
              <w:ind w:left="318" w:hanging="284"/>
              <w:rPr>
                <w:rFonts w:ascii="Arial" w:hAnsi="Arial" w:cs="Arial"/>
                <w:szCs w:val="24"/>
                <w:lang w:val="fr-CI"/>
              </w:rPr>
            </w:pPr>
            <w:r w:rsidRPr="004254DD">
              <w:rPr>
                <w:rFonts w:ascii="Arial" w:hAnsi="Arial" w:cs="Arial"/>
                <w:szCs w:val="24"/>
                <w:lang w:val="fr-CI"/>
              </w:rPr>
              <w:t>Bénin</w:t>
            </w:r>
          </w:p>
          <w:p w:rsidR="007552BE" w:rsidRDefault="007552BE" w:rsidP="00AE2F12">
            <w:pPr>
              <w:pStyle w:val="ListParagraph"/>
              <w:numPr>
                <w:ilvl w:val="0"/>
                <w:numId w:val="33"/>
              </w:numPr>
              <w:spacing w:after="0" w:line="240" w:lineRule="auto"/>
              <w:ind w:left="318" w:hanging="284"/>
              <w:rPr>
                <w:rFonts w:ascii="Arial" w:hAnsi="Arial" w:cs="Arial"/>
                <w:szCs w:val="24"/>
                <w:lang w:val="fr-CI"/>
              </w:rPr>
            </w:pPr>
            <w:r w:rsidRPr="004254DD">
              <w:rPr>
                <w:rFonts w:ascii="Arial" w:hAnsi="Arial" w:cs="Arial"/>
                <w:szCs w:val="24"/>
                <w:lang w:val="fr-CI"/>
              </w:rPr>
              <w:t>Burkina Faso</w:t>
            </w:r>
          </w:p>
          <w:p w:rsidR="007552BE" w:rsidRDefault="007552BE" w:rsidP="00AE2F12">
            <w:pPr>
              <w:pStyle w:val="ListParagraph"/>
              <w:numPr>
                <w:ilvl w:val="0"/>
                <w:numId w:val="33"/>
              </w:numPr>
              <w:spacing w:after="0" w:line="240" w:lineRule="auto"/>
              <w:ind w:left="318" w:hanging="284"/>
              <w:rPr>
                <w:rFonts w:ascii="Arial" w:hAnsi="Arial" w:cs="Arial"/>
                <w:szCs w:val="24"/>
                <w:lang w:val="fr-CI"/>
              </w:rPr>
            </w:pPr>
            <w:r w:rsidRPr="004254DD">
              <w:rPr>
                <w:rFonts w:ascii="Arial" w:hAnsi="Arial" w:cs="Arial"/>
                <w:szCs w:val="24"/>
                <w:lang w:val="fr-CI"/>
              </w:rPr>
              <w:t>Côte d’Ivoir</w:t>
            </w:r>
            <w:r w:rsidR="004366FD" w:rsidRPr="004254DD">
              <w:rPr>
                <w:rFonts w:ascii="Arial" w:hAnsi="Arial" w:cs="Arial"/>
                <w:szCs w:val="24"/>
                <w:lang w:val="fr-CI"/>
              </w:rPr>
              <w:t>e</w:t>
            </w:r>
          </w:p>
          <w:p w:rsidR="007552BE" w:rsidRDefault="007552BE" w:rsidP="00AE2F12">
            <w:pPr>
              <w:pStyle w:val="ListParagraph"/>
              <w:numPr>
                <w:ilvl w:val="0"/>
                <w:numId w:val="33"/>
              </w:numPr>
              <w:spacing w:after="0" w:line="240" w:lineRule="auto"/>
              <w:ind w:left="318" w:hanging="284"/>
              <w:rPr>
                <w:rFonts w:ascii="Arial" w:hAnsi="Arial" w:cs="Arial"/>
                <w:szCs w:val="24"/>
                <w:lang w:val="fr-CI"/>
              </w:rPr>
            </w:pPr>
            <w:r w:rsidRPr="004254DD">
              <w:rPr>
                <w:rFonts w:ascii="Arial" w:hAnsi="Arial" w:cs="Arial"/>
                <w:szCs w:val="24"/>
                <w:lang w:val="fr-CI"/>
              </w:rPr>
              <w:t>Ghana</w:t>
            </w:r>
          </w:p>
          <w:p w:rsidR="007552BE" w:rsidRDefault="007552BE" w:rsidP="00AE2F12">
            <w:pPr>
              <w:pStyle w:val="ListParagraph"/>
              <w:numPr>
                <w:ilvl w:val="0"/>
                <w:numId w:val="33"/>
              </w:numPr>
              <w:spacing w:after="0" w:line="240" w:lineRule="auto"/>
              <w:ind w:left="318" w:hanging="284"/>
              <w:rPr>
                <w:rFonts w:ascii="Arial" w:hAnsi="Arial" w:cs="Arial"/>
                <w:szCs w:val="24"/>
                <w:lang w:val="fr-CI"/>
              </w:rPr>
            </w:pPr>
            <w:r w:rsidRPr="004254DD">
              <w:rPr>
                <w:rFonts w:ascii="Arial" w:hAnsi="Arial" w:cs="Arial"/>
                <w:szCs w:val="24"/>
                <w:lang w:val="fr-CI"/>
              </w:rPr>
              <w:t>La Gambie</w:t>
            </w:r>
          </w:p>
          <w:p w:rsidR="007552BE" w:rsidRDefault="007552BE" w:rsidP="00AE2F12">
            <w:pPr>
              <w:pStyle w:val="ListParagraph"/>
              <w:numPr>
                <w:ilvl w:val="0"/>
                <w:numId w:val="33"/>
              </w:numPr>
              <w:spacing w:after="0" w:line="240" w:lineRule="auto"/>
              <w:ind w:left="318" w:hanging="284"/>
              <w:rPr>
                <w:rFonts w:ascii="Arial" w:hAnsi="Arial" w:cs="Arial"/>
                <w:szCs w:val="24"/>
                <w:lang w:val="fr-CI"/>
              </w:rPr>
            </w:pPr>
            <w:r w:rsidRPr="004254DD">
              <w:rPr>
                <w:rFonts w:ascii="Arial" w:hAnsi="Arial" w:cs="Arial"/>
                <w:szCs w:val="24"/>
                <w:lang w:val="fr-CI"/>
              </w:rPr>
              <w:t>Libéria</w:t>
            </w:r>
          </w:p>
          <w:p w:rsidR="007552BE" w:rsidRDefault="007552BE" w:rsidP="00AE2F12">
            <w:pPr>
              <w:pStyle w:val="ListParagraph"/>
              <w:numPr>
                <w:ilvl w:val="0"/>
                <w:numId w:val="33"/>
              </w:numPr>
              <w:spacing w:after="0" w:line="240" w:lineRule="auto"/>
              <w:ind w:left="318" w:hanging="284"/>
              <w:rPr>
                <w:rFonts w:ascii="Arial" w:hAnsi="Arial" w:cs="Arial"/>
                <w:szCs w:val="24"/>
                <w:lang w:val="fr-CI"/>
              </w:rPr>
            </w:pPr>
            <w:r w:rsidRPr="004254DD">
              <w:rPr>
                <w:rFonts w:ascii="Arial" w:hAnsi="Arial" w:cs="Arial"/>
                <w:szCs w:val="24"/>
                <w:lang w:val="fr-CI"/>
              </w:rPr>
              <w:t>Nigeria</w:t>
            </w:r>
          </w:p>
          <w:p w:rsidR="007552BE" w:rsidRDefault="007552BE" w:rsidP="00AE2F12">
            <w:pPr>
              <w:pStyle w:val="ListParagraph"/>
              <w:numPr>
                <w:ilvl w:val="0"/>
                <w:numId w:val="33"/>
              </w:numPr>
              <w:spacing w:after="0" w:line="240" w:lineRule="auto"/>
              <w:ind w:left="318" w:hanging="284"/>
              <w:rPr>
                <w:rFonts w:ascii="Arial" w:hAnsi="Arial" w:cs="Arial"/>
                <w:szCs w:val="24"/>
                <w:lang w:val="fr-CI"/>
              </w:rPr>
            </w:pPr>
            <w:r w:rsidRPr="004254DD">
              <w:rPr>
                <w:rFonts w:ascii="Arial" w:hAnsi="Arial" w:cs="Arial"/>
                <w:szCs w:val="24"/>
                <w:lang w:val="fr-CI"/>
              </w:rPr>
              <w:t>Sénégal</w:t>
            </w:r>
          </w:p>
          <w:p w:rsidR="007552BE" w:rsidRPr="004254DD" w:rsidRDefault="007552BE" w:rsidP="00AE2F12">
            <w:pPr>
              <w:pStyle w:val="ListParagraph"/>
              <w:numPr>
                <w:ilvl w:val="0"/>
                <w:numId w:val="33"/>
              </w:numPr>
              <w:spacing w:after="0" w:line="240" w:lineRule="auto"/>
              <w:ind w:left="318" w:hanging="284"/>
              <w:rPr>
                <w:rFonts w:ascii="Arial" w:hAnsi="Arial" w:cs="Arial"/>
                <w:szCs w:val="24"/>
                <w:lang w:val="fr-CI"/>
              </w:rPr>
            </w:pPr>
            <w:r w:rsidRPr="004254DD">
              <w:rPr>
                <w:rFonts w:ascii="Arial" w:hAnsi="Arial" w:cs="Arial"/>
                <w:szCs w:val="24"/>
                <w:lang w:val="fr-CI"/>
              </w:rPr>
              <w:t>Togo</w:t>
            </w:r>
          </w:p>
        </w:tc>
      </w:tr>
    </w:tbl>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 xml:space="preserve">Comme on peut le constater, un nombre considérable de pays ont été couverts en Afrique de l’Ouest, en Afrique australe, en Afrique de l’Est et en Afrique centrale. En </w:t>
      </w:r>
      <w:r w:rsidRPr="004366FD">
        <w:rPr>
          <w:rFonts w:ascii="Arial" w:hAnsi="Arial" w:cs="Arial"/>
          <w:sz w:val="24"/>
          <w:szCs w:val="24"/>
          <w:lang w:val="fr-CI"/>
        </w:rPr>
        <w:lastRenderedPageBreak/>
        <w:t>ce qui concerne l’Afrique du Nord, les progrès réalisés ont été plus lents, jusqu’ici seuls deux pays ont été couverts. Les rapports de mission d’internalisation sont disponibles et sont actuellement transmis aux ambassades</w:t>
      </w:r>
      <w:r w:rsidR="00331E1D">
        <w:rPr>
          <w:rFonts w:ascii="Arial" w:hAnsi="Arial" w:cs="Arial"/>
          <w:sz w:val="24"/>
          <w:szCs w:val="24"/>
          <w:lang w:val="fr-CI"/>
        </w:rPr>
        <w:t>/</w:t>
      </w:r>
      <w:r w:rsidRPr="004366FD">
        <w:rPr>
          <w:rFonts w:ascii="Arial" w:hAnsi="Arial" w:cs="Arial"/>
          <w:sz w:val="24"/>
          <w:szCs w:val="24"/>
          <w:lang w:val="fr-CI"/>
        </w:rPr>
        <w:t>missions respectives basées à Addis</w:t>
      </w:r>
      <w:r w:rsidR="004366FD">
        <w:rPr>
          <w:rFonts w:ascii="Arial" w:hAnsi="Arial" w:cs="Arial"/>
          <w:sz w:val="24"/>
          <w:szCs w:val="24"/>
          <w:lang w:val="fr-CI"/>
        </w:rPr>
        <w:t>-Abeba</w:t>
      </w:r>
      <w:r w:rsidRPr="004366FD">
        <w:rPr>
          <w:rFonts w:ascii="Arial" w:hAnsi="Arial" w:cs="Arial"/>
          <w:sz w:val="24"/>
          <w:szCs w:val="24"/>
          <w:lang w:val="fr-CI"/>
        </w:rPr>
        <w:t xml:space="preserve"> pour que celles-ci les transmettent ultérieurement aux autorités nationales.</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D24221">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Afin de maintenir l’élan et de s’appuyer sur les actions convenues avec les pays au cours de la mission, la Commission entend organiser un atelier de consolidation en décembre pour les 3</w:t>
      </w:r>
      <w:r w:rsidR="00D24221">
        <w:rPr>
          <w:rFonts w:ascii="Arial" w:hAnsi="Arial" w:cs="Arial"/>
          <w:sz w:val="24"/>
          <w:szCs w:val="24"/>
          <w:lang w:val="fr-CI"/>
        </w:rPr>
        <w:t>2</w:t>
      </w:r>
      <w:r w:rsidRPr="004366FD">
        <w:rPr>
          <w:rFonts w:ascii="Arial" w:hAnsi="Arial" w:cs="Arial"/>
          <w:sz w:val="24"/>
          <w:szCs w:val="24"/>
          <w:lang w:val="fr-CI"/>
        </w:rPr>
        <w:t xml:space="preserve"> pays qui devraient être couverts. Cet atelier vise principalement à faire le point, à identifier les besoins en termes d’appui (notamment les outils et l’assistance technique), à élaborer des feuilles de route nationales et à fournir une plate-forme d’apprentissage mutuel.</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Les principaux défis rencontrés jusqu’ici en ce qui concerne le processus d’internalisation au niveau des États membres sont les suivants :</w:t>
      </w:r>
    </w:p>
    <w:p w:rsidR="004254DD" w:rsidRPr="004366FD" w:rsidRDefault="004254DD" w:rsidP="00AE2F12">
      <w:pPr>
        <w:spacing w:after="0" w:line="240" w:lineRule="auto"/>
        <w:contextualSpacing/>
        <w:jc w:val="both"/>
        <w:rPr>
          <w:rFonts w:ascii="Arial" w:hAnsi="Arial" w:cs="Arial"/>
          <w:sz w:val="24"/>
          <w:szCs w:val="24"/>
          <w:lang w:val="fr-CI"/>
        </w:rPr>
      </w:pPr>
    </w:p>
    <w:p w:rsidR="007552BE" w:rsidRPr="004366FD" w:rsidRDefault="004254DD" w:rsidP="004254DD">
      <w:pPr>
        <w:numPr>
          <w:ilvl w:val="0"/>
          <w:numId w:val="19"/>
        </w:numPr>
        <w:spacing w:after="0" w:line="240" w:lineRule="auto"/>
        <w:ind w:left="1276" w:hanging="567"/>
        <w:contextualSpacing/>
        <w:jc w:val="both"/>
        <w:rPr>
          <w:rFonts w:ascii="Arial" w:hAnsi="Arial" w:cs="Arial"/>
          <w:sz w:val="24"/>
          <w:szCs w:val="24"/>
          <w:lang w:val="fr-CI"/>
        </w:rPr>
      </w:pPr>
      <w:r>
        <w:rPr>
          <w:rFonts w:ascii="Arial" w:hAnsi="Arial" w:cs="Arial"/>
          <w:sz w:val="24"/>
          <w:szCs w:val="24"/>
          <w:lang w:val="fr-CI"/>
        </w:rPr>
        <w:t>l</w:t>
      </w:r>
      <w:r w:rsidR="007552BE" w:rsidRPr="004366FD">
        <w:rPr>
          <w:rFonts w:ascii="Arial" w:hAnsi="Arial" w:cs="Arial"/>
          <w:sz w:val="24"/>
          <w:szCs w:val="24"/>
          <w:lang w:val="fr-CI"/>
        </w:rPr>
        <w:t>’appui technique et financier fourni par les partenaires extérieurs, notamment par le système des Nations Unies, a permis de mettre plus d’accent sur les ODD au niveau national, ce qui pose un défi concernant l’internalisation du FTYIP de l’Agenda 2063 ;</w:t>
      </w:r>
    </w:p>
    <w:p w:rsidR="004254DD" w:rsidRDefault="004254DD" w:rsidP="004254DD">
      <w:pPr>
        <w:spacing w:after="0" w:line="240" w:lineRule="auto"/>
        <w:ind w:left="1276"/>
        <w:contextualSpacing/>
        <w:jc w:val="both"/>
        <w:rPr>
          <w:rFonts w:ascii="Arial" w:hAnsi="Arial" w:cs="Arial"/>
          <w:sz w:val="24"/>
          <w:szCs w:val="24"/>
          <w:lang w:val="fr-CI"/>
        </w:rPr>
      </w:pPr>
    </w:p>
    <w:p w:rsidR="007552BE" w:rsidRPr="004366FD" w:rsidRDefault="004254DD" w:rsidP="004254DD">
      <w:pPr>
        <w:numPr>
          <w:ilvl w:val="0"/>
          <w:numId w:val="19"/>
        </w:numPr>
        <w:spacing w:after="0" w:line="240" w:lineRule="auto"/>
        <w:ind w:left="1276" w:hanging="567"/>
        <w:contextualSpacing/>
        <w:jc w:val="both"/>
        <w:rPr>
          <w:rFonts w:ascii="Arial" w:hAnsi="Arial" w:cs="Arial"/>
          <w:sz w:val="24"/>
          <w:szCs w:val="24"/>
          <w:lang w:val="fr-CI"/>
        </w:rPr>
      </w:pPr>
      <w:r>
        <w:rPr>
          <w:rFonts w:ascii="Arial" w:hAnsi="Arial" w:cs="Arial"/>
          <w:sz w:val="24"/>
          <w:szCs w:val="24"/>
          <w:lang w:val="fr-CI"/>
        </w:rPr>
        <w:t>e</w:t>
      </w:r>
      <w:r w:rsidR="007552BE" w:rsidRPr="004366FD">
        <w:rPr>
          <w:rFonts w:ascii="Arial" w:hAnsi="Arial" w:cs="Arial"/>
          <w:sz w:val="24"/>
          <w:szCs w:val="24"/>
          <w:lang w:val="fr-CI"/>
        </w:rPr>
        <w:t>n conséquence, la sensibilisation aux ODD et la vulgarisation de celles-ci sont également p</w:t>
      </w:r>
      <w:r>
        <w:rPr>
          <w:rFonts w:ascii="Arial" w:hAnsi="Arial" w:cs="Arial"/>
          <w:sz w:val="24"/>
          <w:szCs w:val="24"/>
          <w:lang w:val="fr-CI"/>
        </w:rPr>
        <w:t>lus avancées dans certains pays ;</w:t>
      </w:r>
    </w:p>
    <w:p w:rsidR="004254DD" w:rsidRDefault="004254DD" w:rsidP="004254DD">
      <w:pPr>
        <w:spacing w:after="0" w:line="240" w:lineRule="auto"/>
        <w:ind w:left="1276"/>
        <w:contextualSpacing/>
        <w:jc w:val="both"/>
        <w:rPr>
          <w:rFonts w:ascii="Arial" w:hAnsi="Arial" w:cs="Arial"/>
          <w:sz w:val="24"/>
          <w:szCs w:val="24"/>
          <w:lang w:val="fr-CI"/>
        </w:rPr>
      </w:pPr>
    </w:p>
    <w:p w:rsidR="007552BE" w:rsidRPr="004366FD" w:rsidRDefault="004254DD" w:rsidP="004254DD">
      <w:pPr>
        <w:numPr>
          <w:ilvl w:val="0"/>
          <w:numId w:val="19"/>
        </w:numPr>
        <w:spacing w:after="0" w:line="240" w:lineRule="auto"/>
        <w:ind w:left="1276" w:hanging="567"/>
        <w:contextualSpacing/>
        <w:jc w:val="both"/>
        <w:rPr>
          <w:rFonts w:ascii="Arial" w:hAnsi="Arial" w:cs="Arial"/>
          <w:sz w:val="24"/>
          <w:szCs w:val="24"/>
          <w:lang w:val="fr-CI"/>
        </w:rPr>
      </w:pPr>
      <w:r>
        <w:rPr>
          <w:rFonts w:ascii="Arial" w:hAnsi="Arial" w:cs="Arial"/>
          <w:sz w:val="24"/>
          <w:szCs w:val="24"/>
          <w:lang w:val="fr-CI"/>
        </w:rPr>
        <w:t>l</w:t>
      </w:r>
      <w:r w:rsidR="007552BE" w:rsidRPr="004366FD">
        <w:rPr>
          <w:rFonts w:ascii="Arial" w:hAnsi="Arial" w:cs="Arial"/>
          <w:sz w:val="24"/>
          <w:szCs w:val="24"/>
          <w:lang w:val="fr-CI"/>
        </w:rPr>
        <w:t>es risques de cadres parallèles et concurrents au niveau national posent des défis aux États membres dans la mesure où ceux-ci cherchent à internaliser l’Agenda 2063 et les ODD.</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Néanmoins, la plupart des institutions au niveau des États membres considèrent l’Agenda 2063 comme un cadre plus complet qui est plus en adéquation avec leurs visions nationales du développement. Ils considèrent les ODD comme faisant partie de leurs engagements mondiaux qui convergent également avec l’Agenda 2063.</w:t>
      </w: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 </w:t>
      </w: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Afin de relever ces défis, un certain nombre de mesures ont été prises, dont la principale est la décision prise par le 9</w:t>
      </w:r>
      <w:r w:rsidRPr="004366FD">
        <w:rPr>
          <w:rFonts w:ascii="Arial" w:hAnsi="Arial" w:cs="Arial"/>
          <w:sz w:val="24"/>
          <w:szCs w:val="24"/>
          <w:vertAlign w:val="superscript"/>
          <w:lang w:val="fr-CI"/>
        </w:rPr>
        <w:t>e</w:t>
      </w:r>
      <w:r w:rsidRPr="004366FD">
        <w:rPr>
          <w:rFonts w:ascii="Arial" w:hAnsi="Arial" w:cs="Arial"/>
          <w:sz w:val="24"/>
          <w:szCs w:val="24"/>
          <w:lang w:val="fr-CI"/>
        </w:rPr>
        <w:t xml:space="preserve"> CTS sur les finances, les affaires monétaires, la planification et l’intégration économiques, qui s’est tenue du 4 au 6 avril 2016 à Addis-Abeba (Éthiopie) sur la nécessité d’un cadre intégré unique pour la mise en œuvre de l’Agenda 2063 et des ODD – voir encadré ci-dessous – et cela a été approuvé par la 27</w:t>
      </w:r>
      <w:r w:rsidRPr="004366FD">
        <w:rPr>
          <w:rFonts w:ascii="Arial" w:hAnsi="Arial" w:cs="Arial"/>
          <w:sz w:val="24"/>
          <w:szCs w:val="24"/>
          <w:vertAlign w:val="superscript"/>
          <w:lang w:val="fr-CI"/>
        </w:rPr>
        <w:t>e</w:t>
      </w:r>
      <w:r w:rsidRPr="004366FD">
        <w:rPr>
          <w:rFonts w:ascii="Arial" w:hAnsi="Arial" w:cs="Arial"/>
          <w:sz w:val="24"/>
          <w:szCs w:val="24"/>
          <w:lang w:val="fr-CI"/>
        </w:rPr>
        <w:t xml:space="preserve"> Conférence de l’Union à Kigali (Rwanda) en juillet 2016.</w:t>
      </w:r>
    </w:p>
    <w:p w:rsidR="007552BE" w:rsidRPr="004366FD" w:rsidRDefault="007552BE" w:rsidP="00AE2F12">
      <w:pPr>
        <w:spacing w:after="0" w:line="240" w:lineRule="auto"/>
        <w:contextualSpacing/>
        <w:jc w:val="both"/>
        <w:rPr>
          <w:rFonts w:ascii="Arial" w:hAnsi="Arial" w:cs="Arial"/>
          <w:sz w:val="24"/>
          <w:szCs w:val="24"/>
          <w:lang w:val="fr-CI"/>
        </w:rPr>
      </w:pPr>
    </w:p>
    <w:tbl>
      <w:tblPr>
        <w:tblStyle w:val="TableGrid"/>
        <w:tblW w:w="0" w:type="auto"/>
        <w:jc w:val="center"/>
        <w:tblLook w:val="04A0" w:firstRow="1" w:lastRow="0" w:firstColumn="1" w:lastColumn="0" w:noHBand="0" w:noVBand="1"/>
      </w:tblPr>
      <w:tblGrid>
        <w:gridCol w:w="7650"/>
      </w:tblGrid>
      <w:tr w:rsidR="007552BE" w:rsidRPr="00F05C47" w:rsidTr="004254DD">
        <w:trPr>
          <w:jc w:val="center"/>
        </w:trPr>
        <w:tc>
          <w:tcPr>
            <w:tcW w:w="7650" w:type="dxa"/>
          </w:tcPr>
          <w:p w:rsidR="007552BE" w:rsidRPr="004366FD" w:rsidRDefault="007552BE" w:rsidP="00AE2F12">
            <w:pPr>
              <w:widowControl w:val="0"/>
              <w:autoSpaceDE w:val="0"/>
              <w:autoSpaceDN w:val="0"/>
              <w:adjustRightInd w:val="0"/>
              <w:jc w:val="both"/>
              <w:rPr>
                <w:rFonts w:ascii="Helvetica" w:hAnsi="Helvetica" w:cs="Helvetica"/>
                <w:color w:val="3B3835"/>
                <w:sz w:val="20"/>
                <w:szCs w:val="20"/>
                <w:lang w:val="fr-CI"/>
              </w:rPr>
            </w:pPr>
            <w:r w:rsidRPr="004366FD">
              <w:rPr>
                <w:rFonts w:ascii="Helvetica" w:hAnsi="Helvetica" w:cs="Helvetica"/>
                <w:color w:val="3B3835"/>
                <w:sz w:val="20"/>
                <w:szCs w:val="20"/>
                <w:lang w:val="fr-CI"/>
              </w:rPr>
              <w:t>La neuvième Conférence annuelle conjointe du Comité technique spécialisé sur les finances, les affaires monétaires, la planification et l</w:t>
            </w:r>
            <w:r w:rsidR="00331E1D">
              <w:rPr>
                <w:rFonts w:ascii="Helvetica" w:hAnsi="Helvetica" w:cs="Helvetica"/>
                <w:color w:val="3B3835"/>
                <w:sz w:val="20"/>
                <w:szCs w:val="20"/>
                <w:lang w:val="fr-CI"/>
              </w:rPr>
              <w:t>’</w:t>
            </w:r>
            <w:r w:rsidRPr="004366FD">
              <w:rPr>
                <w:rFonts w:ascii="Helvetica" w:hAnsi="Helvetica" w:cs="Helvetica"/>
                <w:color w:val="3B3835"/>
                <w:sz w:val="20"/>
                <w:szCs w:val="20"/>
                <w:lang w:val="fr-CI"/>
              </w:rPr>
              <w:t>intégration économiques de l’Union africaine et de la Conférence des ministres africains des Finances, de la Planification et du Développement économique de la Commission économique pour l’Afrique, qui s</w:t>
            </w:r>
            <w:r w:rsidR="00331E1D">
              <w:rPr>
                <w:rFonts w:ascii="Helvetica" w:hAnsi="Helvetica" w:cs="Helvetica"/>
                <w:color w:val="3B3835"/>
                <w:sz w:val="20"/>
                <w:szCs w:val="20"/>
                <w:lang w:val="fr-CI"/>
              </w:rPr>
              <w:t>’</w:t>
            </w:r>
            <w:r w:rsidRPr="004366FD">
              <w:rPr>
                <w:rFonts w:ascii="Helvetica" w:hAnsi="Helvetica" w:cs="Helvetica"/>
                <w:color w:val="3B3835"/>
                <w:sz w:val="20"/>
                <w:szCs w:val="20"/>
                <w:lang w:val="fr-CI"/>
              </w:rPr>
              <w:t>est tenue à Addis-Abeba les 4 et 5 avril 2016 a</w:t>
            </w:r>
          </w:p>
          <w:p w:rsidR="007552BE" w:rsidRPr="004366FD" w:rsidRDefault="007552BE" w:rsidP="00AE2F12">
            <w:pPr>
              <w:widowControl w:val="0"/>
              <w:numPr>
                <w:ilvl w:val="0"/>
                <w:numId w:val="20"/>
              </w:numPr>
              <w:autoSpaceDE w:val="0"/>
              <w:autoSpaceDN w:val="0"/>
              <w:adjustRightInd w:val="0"/>
              <w:jc w:val="both"/>
              <w:rPr>
                <w:rFonts w:ascii="Calibri" w:hAnsi="Calibri" w:cs="Calibri"/>
                <w:sz w:val="20"/>
                <w:szCs w:val="20"/>
                <w:lang w:val="fr-CI"/>
              </w:rPr>
            </w:pPr>
            <w:r w:rsidRPr="004366FD">
              <w:rPr>
                <w:rFonts w:ascii="Calibri" w:hAnsi="Calibri" w:cs="Calibri"/>
                <w:sz w:val="20"/>
                <w:szCs w:val="20"/>
                <w:lang w:val="fr-CI"/>
              </w:rPr>
              <w:t>reconnu que l’Agenda 2063 et l’Agenda 2030 pour le développement durable offrent à l</w:t>
            </w:r>
            <w:r w:rsidR="00331E1D">
              <w:rPr>
                <w:rFonts w:ascii="Calibri" w:hAnsi="Calibri" w:cs="Calibri"/>
                <w:sz w:val="20"/>
                <w:szCs w:val="20"/>
                <w:lang w:val="fr-CI"/>
              </w:rPr>
              <w:t>’</w:t>
            </w:r>
            <w:r w:rsidRPr="004366FD">
              <w:rPr>
                <w:rFonts w:ascii="Calibri" w:hAnsi="Calibri" w:cs="Calibri"/>
                <w:sz w:val="20"/>
                <w:szCs w:val="20"/>
                <w:lang w:val="fr-CI"/>
              </w:rPr>
              <w:t>Afrique une occasion unique de parvenir à un développement inclusif et transformateur avec équité.</w:t>
            </w:r>
          </w:p>
          <w:p w:rsidR="007552BE" w:rsidRPr="004366FD" w:rsidRDefault="007552BE" w:rsidP="00AE2F12">
            <w:pPr>
              <w:widowControl w:val="0"/>
              <w:numPr>
                <w:ilvl w:val="0"/>
                <w:numId w:val="20"/>
              </w:numPr>
              <w:autoSpaceDE w:val="0"/>
              <w:autoSpaceDN w:val="0"/>
              <w:adjustRightInd w:val="0"/>
              <w:jc w:val="both"/>
              <w:rPr>
                <w:rFonts w:ascii="Arial" w:hAnsi="Arial" w:cs="Arial"/>
                <w:sz w:val="20"/>
                <w:szCs w:val="24"/>
                <w:lang w:val="fr-CI"/>
              </w:rPr>
            </w:pPr>
            <w:r w:rsidRPr="004366FD">
              <w:rPr>
                <w:rFonts w:ascii="Calibri" w:hAnsi="Calibri" w:cs="Calibri"/>
                <w:sz w:val="20"/>
                <w:szCs w:val="20"/>
                <w:lang w:val="fr-CI"/>
              </w:rPr>
              <w:t>souligné l</w:t>
            </w:r>
            <w:r w:rsidR="00331E1D">
              <w:rPr>
                <w:rFonts w:ascii="Calibri" w:hAnsi="Calibri" w:cs="Calibri"/>
                <w:sz w:val="20"/>
                <w:szCs w:val="20"/>
                <w:lang w:val="fr-CI"/>
              </w:rPr>
              <w:t>’</w:t>
            </w:r>
            <w:r w:rsidRPr="004366FD">
              <w:rPr>
                <w:rFonts w:ascii="Calibri" w:hAnsi="Calibri" w:cs="Calibri"/>
                <w:sz w:val="20"/>
                <w:szCs w:val="20"/>
                <w:lang w:val="fr-CI"/>
              </w:rPr>
              <w:t>importance pour l</w:t>
            </w:r>
            <w:r w:rsidR="00331E1D">
              <w:rPr>
                <w:rFonts w:ascii="Calibri" w:hAnsi="Calibri" w:cs="Calibri"/>
                <w:sz w:val="20"/>
                <w:szCs w:val="20"/>
                <w:lang w:val="fr-CI"/>
              </w:rPr>
              <w:t>’</w:t>
            </w:r>
            <w:r w:rsidRPr="004366FD">
              <w:rPr>
                <w:rFonts w:ascii="Calibri" w:hAnsi="Calibri" w:cs="Calibri"/>
                <w:sz w:val="20"/>
                <w:szCs w:val="20"/>
                <w:lang w:val="fr-CI"/>
              </w:rPr>
              <w:t>Afrique d’adopter une stratégie cohérente pour la mise en œuvre efficace et coordonnée de l’Agenda 2063 et de l’Agenda 2030.</w:t>
            </w:r>
          </w:p>
          <w:p w:rsidR="007552BE" w:rsidRPr="004366FD" w:rsidRDefault="007552BE" w:rsidP="00AE2F12">
            <w:pPr>
              <w:widowControl w:val="0"/>
              <w:autoSpaceDE w:val="0"/>
              <w:autoSpaceDN w:val="0"/>
              <w:adjustRightInd w:val="0"/>
              <w:ind w:left="720"/>
              <w:jc w:val="both"/>
              <w:rPr>
                <w:rFonts w:ascii="Arial" w:hAnsi="Arial" w:cs="Arial"/>
                <w:sz w:val="20"/>
                <w:szCs w:val="24"/>
                <w:lang w:val="fr-CI"/>
              </w:rPr>
            </w:pPr>
          </w:p>
        </w:tc>
      </w:tr>
    </w:tbl>
    <w:p w:rsidR="007552BE" w:rsidRPr="004366FD" w:rsidRDefault="007552BE" w:rsidP="00AE2F12">
      <w:pPr>
        <w:spacing w:after="0" w:line="240" w:lineRule="auto"/>
        <w:contextualSpacing/>
        <w:jc w:val="both"/>
        <w:rPr>
          <w:rFonts w:ascii="Arial" w:hAnsi="Arial" w:cs="Arial"/>
          <w:sz w:val="24"/>
          <w:szCs w:val="24"/>
          <w:lang w:val="fr-CI"/>
        </w:rPr>
      </w:pPr>
    </w:p>
    <w:p w:rsidR="007552BE" w:rsidRPr="00750DF1" w:rsidRDefault="007552BE" w:rsidP="004254DD">
      <w:pPr>
        <w:numPr>
          <w:ilvl w:val="0"/>
          <w:numId w:val="10"/>
        </w:numPr>
        <w:spacing w:after="0" w:line="240" w:lineRule="auto"/>
        <w:ind w:left="1985" w:hanging="567"/>
        <w:contextualSpacing/>
        <w:jc w:val="both"/>
        <w:rPr>
          <w:rFonts w:ascii="Arial" w:eastAsia="Calibri" w:hAnsi="Arial" w:cs="Arial"/>
          <w:b/>
          <w:bCs/>
          <w:i/>
          <w:sz w:val="24"/>
          <w:szCs w:val="24"/>
          <w:lang w:val="fr-CI"/>
        </w:rPr>
      </w:pPr>
      <w:r w:rsidRPr="00750DF1">
        <w:rPr>
          <w:rFonts w:ascii="Arial" w:eastAsia="Calibri" w:hAnsi="Arial" w:cs="Arial"/>
          <w:b/>
          <w:bCs/>
          <w:i/>
          <w:sz w:val="24"/>
          <w:szCs w:val="24"/>
          <w:lang w:val="fr-CI"/>
        </w:rPr>
        <w:t>L’internalisation par la CUA, d’autres organes de l’UA et les CER</w:t>
      </w:r>
    </w:p>
    <w:p w:rsidR="007552BE" w:rsidRPr="00750DF1"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750DF1">
        <w:rPr>
          <w:rFonts w:ascii="Arial" w:hAnsi="Arial" w:cs="Arial"/>
          <w:sz w:val="24"/>
          <w:szCs w:val="24"/>
          <w:lang w:val="fr-CI"/>
        </w:rPr>
        <w:t>À l’initiative de la Présidente de la Commission, l’effort d’internalisation a été étendu à l’ensemble des organes de l’UA conformément à l’appel lancé par les 25</w:t>
      </w:r>
      <w:r w:rsidR="00BF6120" w:rsidRPr="00AE2F12">
        <w:rPr>
          <w:rFonts w:ascii="Arial" w:hAnsi="Arial" w:cs="Arial"/>
          <w:sz w:val="24"/>
          <w:szCs w:val="24"/>
          <w:vertAlign w:val="superscript"/>
          <w:lang w:val="fr-CI"/>
        </w:rPr>
        <w:t>e</w:t>
      </w:r>
      <w:r w:rsidRPr="00AE2F12">
        <w:rPr>
          <w:rFonts w:ascii="Arial" w:hAnsi="Arial" w:cs="Arial"/>
          <w:sz w:val="24"/>
          <w:szCs w:val="24"/>
          <w:vertAlign w:val="superscript"/>
          <w:lang w:val="fr-CI"/>
        </w:rPr>
        <w:t xml:space="preserve"> </w:t>
      </w:r>
      <w:r w:rsidRPr="00750DF1">
        <w:rPr>
          <w:rFonts w:ascii="Arial" w:hAnsi="Arial" w:cs="Arial"/>
          <w:sz w:val="24"/>
          <w:szCs w:val="24"/>
          <w:lang w:val="fr-CI"/>
        </w:rPr>
        <w:t>et 26</w:t>
      </w:r>
      <w:r w:rsidRPr="00750DF1">
        <w:rPr>
          <w:rFonts w:ascii="Arial" w:hAnsi="Arial" w:cs="Arial"/>
          <w:sz w:val="24"/>
          <w:szCs w:val="24"/>
          <w:vertAlign w:val="superscript"/>
          <w:lang w:val="fr-CI"/>
        </w:rPr>
        <w:t>e</w:t>
      </w:r>
      <w:r w:rsidRPr="00750DF1">
        <w:rPr>
          <w:rFonts w:ascii="Arial" w:hAnsi="Arial" w:cs="Arial"/>
          <w:sz w:val="24"/>
          <w:szCs w:val="24"/>
          <w:lang w:val="fr-CI"/>
        </w:rPr>
        <w:t xml:space="preserve"> Sommets selon lequel tous les organes de l’UA devraient aligner leurs travaux sur le FTYIP du Plan d’action 2063 d’ici juin 2016. La Direction de la planification stratégique de la Commission (SPPMERM) a de ce fait mené un exercice visant à faciliter le processus d’alignement au sein des départements/directions/unités de la CUA conformément à cette exigence. Des missions de soutien ont également été menées auprès des organes de l’UA suivants : Agence du NEPAD, PAP, Commission de lutte contre la corruption, Cour africaine des droits de l’homme et des peuples, Commission africaine des droits de l’homme et des peuples, Commission africaine des droits de l’enfant et l’ECOSSOC.</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Les résultats de l’exercice d’alignement/de cartographie mené par les départements de la CUA et d’autres organes de l’UA ont été présentés à l’atelier conjoint tenu à Addis-Abeba (Éthiopie) les 29 et 30 septembre 2016. En outre, toutes les CER et les autres organes de l’UA ont pris part à l’atelier afin de reproduire l’exercice.</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Au cours de l’atelier susmentionné, les résultats de l’auto-évaluation de la Commission sur la mise en œuvre de son plan stratégique (2014-2017) ont également été examinés. Cet exercice a permis non seulement de faire le point sur les progrès réalisés, mais a également aidé la Commission à tirer des enseignements utiles qui servent actuellement à orienter l’élaboration d’un plan subséquent aligné sur le FTYIO de l’Agenda 2063. Le rapport de l’atelier est disponible.</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Default="007552BE" w:rsidP="00AE2F12">
      <w:pPr>
        <w:spacing w:after="0" w:line="240" w:lineRule="auto"/>
        <w:contextualSpacing/>
        <w:jc w:val="both"/>
        <w:rPr>
          <w:rFonts w:ascii="Arial" w:hAnsi="Arial" w:cs="Arial"/>
          <w:b/>
          <w:sz w:val="24"/>
          <w:szCs w:val="24"/>
          <w:lang w:val="fr-CI"/>
        </w:rPr>
      </w:pPr>
      <w:r w:rsidRPr="004366FD">
        <w:rPr>
          <w:rFonts w:ascii="Arial" w:hAnsi="Arial" w:cs="Arial"/>
          <w:b/>
          <w:sz w:val="24"/>
          <w:szCs w:val="24"/>
          <w:lang w:val="fr-CI"/>
        </w:rPr>
        <w:t>Afin de consolider les acquis réalisés et de maintenir l’élan en ce qui concerne l’internalisation de l’Agenda 2063 au niveau national, les organes de l’UA et les CER, les organes délibérants de l’UA sont invités à examiner, discuter et adopter les mesures suivantes :</w:t>
      </w:r>
    </w:p>
    <w:p w:rsidR="004254DD" w:rsidRPr="004366FD" w:rsidRDefault="004254DD" w:rsidP="00AE2F12">
      <w:pPr>
        <w:spacing w:after="0" w:line="240" w:lineRule="auto"/>
        <w:contextualSpacing/>
        <w:jc w:val="both"/>
        <w:rPr>
          <w:rFonts w:ascii="Arial" w:hAnsi="Arial" w:cs="Arial"/>
          <w:b/>
          <w:sz w:val="24"/>
          <w:szCs w:val="24"/>
          <w:lang w:val="fr-CI"/>
        </w:rPr>
      </w:pPr>
    </w:p>
    <w:p w:rsidR="007552BE" w:rsidRPr="004254DD" w:rsidRDefault="007552BE" w:rsidP="004254DD">
      <w:pPr>
        <w:pStyle w:val="ListParagraph"/>
        <w:numPr>
          <w:ilvl w:val="0"/>
          <w:numId w:val="12"/>
        </w:numPr>
        <w:spacing w:after="0" w:line="240" w:lineRule="auto"/>
        <w:ind w:left="1276" w:hanging="567"/>
        <w:jc w:val="both"/>
        <w:rPr>
          <w:rFonts w:ascii="Arial" w:hAnsi="Arial" w:cs="Arial"/>
          <w:i/>
          <w:sz w:val="24"/>
          <w:szCs w:val="24"/>
          <w:lang w:val="fr-CI"/>
        </w:rPr>
      </w:pPr>
      <w:r w:rsidRPr="004254DD">
        <w:rPr>
          <w:rFonts w:ascii="Arial" w:hAnsi="Arial" w:cs="Arial"/>
          <w:i/>
          <w:sz w:val="24"/>
          <w:szCs w:val="24"/>
          <w:lang w:val="fr-CI"/>
        </w:rPr>
        <w:t>Encourager les États membres, les organes de l’UA et les CER à continuer d’intégrer l’Agenda 2063 dans leurs plans et stratégies de développement respectifs.</w:t>
      </w:r>
    </w:p>
    <w:p w:rsidR="007552BE" w:rsidRPr="004366FD" w:rsidRDefault="007552BE" w:rsidP="004254DD">
      <w:pPr>
        <w:numPr>
          <w:ilvl w:val="0"/>
          <w:numId w:val="12"/>
        </w:numPr>
        <w:spacing w:after="0" w:line="240" w:lineRule="auto"/>
        <w:ind w:left="1276" w:hanging="567"/>
        <w:contextualSpacing/>
        <w:jc w:val="both"/>
        <w:rPr>
          <w:rFonts w:ascii="Arial" w:hAnsi="Arial" w:cs="Arial"/>
          <w:i/>
          <w:sz w:val="24"/>
          <w:szCs w:val="24"/>
          <w:lang w:val="fr-CI"/>
        </w:rPr>
      </w:pPr>
      <w:r w:rsidRPr="004366FD">
        <w:rPr>
          <w:rFonts w:ascii="Arial" w:hAnsi="Arial" w:cs="Arial"/>
          <w:i/>
          <w:sz w:val="24"/>
          <w:szCs w:val="24"/>
          <w:lang w:val="fr-CI"/>
        </w:rPr>
        <w:t>La Commission doit mettre en place un dispositif d’appui technique et financier pour soutenir les efforts d’internalisation à tous les niveaux, y compris la sensibilisation et la vulgarisation.</w:t>
      </w:r>
    </w:p>
    <w:p w:rsidR="007552BE" w:rsidRPr="004366FD" w:rsidRDefault="007552BE" w:rsidP="004254DD">
      <w:pPr>
        <w:numPr>
          <w:ilvl w:val="0"/>
          <w:numId w:val="12"/>
        </w:numPr>
        <w:spacing w:after="0" w:line="240" w:lineRule="auto"/>
        <w:ind w:left="1276" w:hanging="567"/>
        <w:contextualSpacing/>
        <w:jc w:val="both"/>
        <w:rPr>
          <w:rFonts w:ascii="Arial" w:hAnsi="Arial" w:cs="Arial"/>
          <w:i/>
          <w:sz w:val="24"/>
          <w:szCs w:val="24"/>
          <w:lang w:val="fr-CI"/>
        </w:rPr>
      </w:pPr>
      <w:r w:rsidRPr="004366FD">
        <w:rPr>
          <w:rFonts w:ascii="Arial" w:hAnsi="Arial" w:cs="Arial"/>
          <w:i/>
          <w:sz w:val="24"/>
          <w:szCs w:val="24"/>
          <w:lang w:val="fr-CI"/>
        </w:rPr>
        <w:t>La Commission doit concevoir des mécanismes de suivi pour faciliter l’internalisation à son niveau et identifier les changements structurels nécessaires pour intégrer l’Agenda 2063.</w:t>
      </w:r>
    </w:p>
    <w:p w:rsidR="007552BE" w:rsidRPr="004366FD" w:rsidRDefault="007552BE" w:rsidP="004254DD">
      <w:pPr>
        <w:numPr>
          <w:ilvl w:val="0"/>
          <w:numId w:val="12"/>
        </w:numPr>
        <w:spacing w:after="0" w:line="240" w:lineRule="auto"/>
        <w:ind w:left="1276" w:hanging="567"/>
        <w:contextualSpacing/>
        <w:jc w:val="both"/>
        <w:rPr>
          <w:rFonts w:ascii="Arial" w:hAnsi="Arial" w:cs="Arial"/>
          <w:i/>
          <w:sz w:val="24"/>
          <w:szCs w:val="24"/>
          <w:lang w:val="fr-CI"/>
        </w:rPr>
      </w:pPr>
      <w:r w:rsidRPr="004366FD">
        <w:rPr>
          <w:rFonts w:ascii="Arial" w:hAnsi="Arial" w:cs="Arial"/>
          <w:i/>
          <w:sz w:val="24"/>
          <w:szCs w:val="24"/>
          <w:lang w:val="fr-CI"/>
        </w:rPr>
        <w:t>La Commission doit mettre en place un mécanisme d’examen par les pairs afin de faciliter le partage des meilleures pratiques entre les États membres.</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26525D" w:rsidRDefault="007552BE" w:rsidP="0026525D">
      <w:pPr>
        <w:pStyle w:val="ListParagraph"/>
        <w:numPr>
          <w:ilvl w:val="1"/>
          <w:numId w:val="26"/>
        </w:numPr>
        <w:spacing w:after="0" w:line="240" w:lineRule="auto"/>
        <w:ind w:left="1418" w:hanging="709"/>
        <w:jc w:val="both"/>
        <w:rPr>
          <w:rFonts w:ascii="Arial" w:eastAsia="Calibri" w:hAnsi="Arial" w:cs="Arial"/>
          <w:b/>
          <w:bCs/>
          <w:sz w:val="24"/>
          <w:szCs w:val="24"/>
          <w:lang w:val="fr-CI"/>
        </w:rPr>
      </w:pPr>
      <w:r w:rsidRPr="0026525D">
        <w:rPr>
          <w:rFonts w:ascii="Arial" w:eastAsia="Calibri" w:hAnsi="Arial" w:cs="Arial"/>
          <w:b/>
          <w:bCs/>
          <w:sz w:val="24"/>
          <w:szCs w:val="24"/>
          <w:lang w:val="fr-CI"/>
        </w:rPr>
        <w:t>Projets phares de l’Agenda 2063</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 xml:space="preserve">Les progrès réalisés dans la mise en œuvre des projets phares se situent à des niveaux différents selon la feuille de route établie pour chacun d’eux. Certains de ces </w:t>
      </w:r>
      <w:r w:rsidRPr="004366FD">
        <w:rPr>
          <w:rFonts w:ascii="Arial" w:hAnsi="Arial" w:cs="Arial"/>
          <w:sz w:val="24"/>
          <w:szCs w:val="24"/>
          <w:lang w:val="fr-CI"/>
        </w:rPr>
        <w:lastRenderedPageBreak/>
        <w:t>projets ont été examinés par leurs Comités techniques spécialisés respectifs, tandis que d’autres attendent d’être examinés par les experts. Les études de faisabilité ont été achevées pour la plupart des projets et les parties prenantes ont été sensibilisées au démarrage. Les progrès réalisés au niveau de la mise en œuvre, les difficultés rencontrées et la voie à suivre, sont présentés à l’Annexe 1 ci-dessous.</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26525D">
      <w:pPr>
        <w:pStyle w:val="ListParagraph"/>
        <w:numPr>
          <w:ilvl w:val="1"/>
          <w:numId w:val="26"/>
        </w:numPr>
        <w:spacing w:after="0" w:line="240" w:lineRule="auto"/>
        <w:ind w:left="1418" w:hanging="709"/>
        <w:jc w:val="both"/>
        <w:rPr>
          <w:rFonts w:ascii="Arial" w:eastAsia="Calibri" w:hAnsi="Arial" w:cs="Arial"/>
          <w:b/>
          <w:bCs/>
          <w:sz w:val="24"/>
          <w:szCs w:val="24"/>
          <w:lang w:val="fr-CI"/>
        </w:rPr>
      </w:pPr>
      <w:r w:rsidRPr="004366FD">
        <w:rPr>
          <w:rFonts w:ascii="Arial" w:eastAsia="Calibri" w:hAnsi="Arial" w:cs="Arial"/>
          <w:b/>
          <w:bCs/>
          <w:sz w:val="24"/>
          <w:szCs w:val="24"/>
          <w:lang w:val="fr-CI"/>
        </w:rPr>
        <w:t>Cadre de responsabilisation pour l’Agenda 2063 et l’alignement des systèmes de S</w:t>
      </w:r>
      <w:r w:rsidR="00331E1D">
        <w:rPr>
          <w:rFonts w:ascii="Arial" w:eastAsia="Calibri" w:hAnsi="Arial" w:cs="Arial"/>
          <w:b/>
          <w:bCs/>
          <w:sz w:val="24"/>
          <w:szCs w:val="24"/>
          <w:lang w:val="fr-CI"/>
        </w:rPr>
        <w:t xml:space="preserve"> </w:t>
      </w:r>
      <w:r w:rsidRPr="004366FD">
        <w:rPr>
          <w:rFonts w:ascii="Arial" w:eastAsia="Calibri" w:hAnsi="Arial" w:cs="Arial"/>
          <w:b/>
          <w:bCs/>
          <w:sz w:val="24"/>
          <w:szCs w:val="24"/>
          <w:lang w:val="fr-CI"/>
        </w:rPr>
        <w:t>&amp;</w:t>
      </w:r>
      <w:r w:rsidR="00331E1D">
        <w:rPr>
          <w:rFonts w:ascii="Arial" w:eastAsia="Calibri" w:hAnsi="Arial" w:cs="Arial"/>
          <w:b/>
          <w:bCs/>
          <w:sz w:val="24"/>
          <w:szCs w:val="24"/>
          <w:lang w:val="fr-CI"/>
        </w:rPr>
        <w:t xml:space="preserve"> </w:t>
      </w:r>
      <w:r w:rsidRPr="004366FD">
        <w:rPr>
          <w:rFonts w:ascii="Arial" w:eastAsia="Calibri" w:hAnsi="Arial" w:cs="Arial"/>
          <w:b/>
          <w:bCs/>
          <w:sz w:val="24"/>
          <w:szCs w:val="24"/>
          <w:lang w:val="fr-CI"/>
        </w:rPr>
        <w:t>E des CER</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4254DD">
      <w:pPr>
        <w:numPr>
          <w:ilvl w:val="0"/>
          <w:numId w:val="21"/>
        </w:numPr>
        <w:spacing w:after="0" w:line="240" w:lineRule="auto"/>
        <w:ind w:left="1985" w:hanging="567"/>
        <w:contextualSpacing/>
        <w:jc w:val="both"/>
        <w:rPr>
          <w:rFonts w:ascii="Arial" w:eastAsia="Calibri" w:hAnsi="Arial" w:cs="Arial"/>
          <w:b/>
          <w:sz w:val="24"/>
          <w:szCs w:val="24"/>
          <w:lang w:val="fr-CI"/>
        </w:rPr>
      </w:pPr>
      <w:r w:rsidRPr="004366FD">
        <w:rPr>
          <w:rFonts w:ascii="Arial" w:eastAsia="Calibri" w:hAnsi="Arial" w:cs="Arial"/>
          <w:b/>
          <w:sz w:val="24"/>
          <w:szCs w:val="24"/>
          <w:lang w:val="fr-CI"/>
        </w:rPr>
        <w:t>Cadre de responsabilisation/de mesure</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La mise en place d’un cadre de suivi et d’évaluation complet et robuste est l’une des conditions essentielles pour assurer la mise en œuvre réussie de l’Agenda 2063.</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Des progrès significatifs ont été réalisés dans l’élaboration d’un tel cadre de mesure et de responsabilisation. La Commission de l’UA a dirigé le processus d’élaboration du cadre de responsabilisation de l’Agenda 2063 en travaillant en étroite collaboration avec des partenaires clés tels que le Symposium africain sur le développement statistique (ASSD), la Commission économique des Nations Unies pour l’Afrique (CEA), la Banque africaine de développement (BAD), la Fondation pour le renforcement des capacités en Afrique (ACBF), l’Agence de planification et de coordination du NEPAD (NPCA). Ce travail vise également à faire progresser l’élaboration d’un cadre intégré pour la mise en œuvre de l’Agenda 2063 et des ODD.</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Un groupe de travail technique de 25 membres composé de statisticiens, de planificateurs et d’experts sectoriels a été mis en place pour fournir une expertise technique en termes de formulation, d’identification des sources de données, de clarté et de pertinence des indicateurs.</w:t>
      </w:r>
    </w:p>
    <w:p w:rsidR="007552BE" w:rsidRPr="00AE2F12" w:rsidRDefault="007552BE" w:rsidP="00AE2F12">
      <w:pPr>
        <w:spacing w:after="0" w:line="240" w:lineRule="auto"/>
        <w:contextualSpacing/>
        <w:jc w:val="both"/>
        <w:rPr>
          <w:rFonts w:ascii="Arial" w:hAnsi="Arial" w:cs="Arial"/>
          <w:b/>
          <w:bCs/>
          <w:sz w:val="24"/>
          <w:szCs w:val="24"/>
          <w:lang w:val="fr-CI"/>
        </w:rPr>
      </w:pPr>
    </w:p>
    <w:p w:rsidR="007552BE" w:rsidRPr="00AE2F12" w:rsidRDefault="007552BE" w:rsidP="00AE2F12">
      <w:pPr>
        <w:spacing w:after="0" w:line="240" w:lineRule="auto"/>
        <w:contextualSpacing/>
        <w:jc w:val="both"/>
        <w:rPr>
          <w:rFonts w:ascii="Arial" w:hAnsi="Arial" w:cs="Arial"/>
          <w:b/>
          <w:bCs/>
          <w:sz w:val="24"/>
          <w:szCs w:val="24"/>
          <w:lang w:val="fr-CI"/>
        </w:rPr>
      </w:pPr>
      <w:r w:rsidRPr="00AE2F12">
        <w:rPr>
          <w:rFonts w:ascii="Arial" w:hAnsi="Arial" w:cs="Arial"/>
          <w:b/>
          <w:bCs/>
          <w:sz w:val="24"/>
          <w:szCs w:val="24"/>
          <w:lang w:val="fr-CI"/>
        </w:rPr>
        <w:t>Les principales réalisations à ce jour sont les suivantes :</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4254DD">
      <w:pPr>
        <w:numPr>
          <w:ilvl w:val="0"/>
          <w:numId w:val="7"/>
        </w:numPr>
        <w:spacing w:after="0" w:line="240" w:lineRule="auto"/>
        <w:ind w:left="1276" w:hanging="567"/>
        <w:contextualSpacing/>
        <w:jc w:val="both"/>
        <w:rPr>
          <w:rFonts w:ascii="Arial" w:hAnsi="Arial" w:cs="Arial"/>
          <w:sz w:val="24"/>
          <w:szCs w:val="24"/>
          <w:lang w:val="fr-CI"/>
        </w:rPr>
      </w:pPr>
      <w:r w:rsidRPr="004366FD">
        <w:rPr>
          <w:rFonts w:ascii="Arial" w:hAnsi="Arial" w:cs="Arial"/>
          <w:sz w:val="24"/>
          <w:szCs w:val="24"/>
          <w:lang w:val="fr-CI"/>
        </w:rPr>
        <w:t xml:space="preserve">Un ensemble d’indicateurs du FTYIP et les sources de données a été convenu. Ceux-ci sont liés aux objectifs, aux domaines </w:t>
      </w:r>
      <w:r w:rsidRPr="004366FD">
        <w:rPr>
          <w:rFonts w:ascii="Arial" w:eastAsia="Calibri" w:hAnsi="Arial" w:cs="Arial"/>
          <w:sz w:val="24"/>
          <w:szCs w:val="24"/>
          <w:lang w:val="fr-CI"/>
        </w:rPr>
        <w:t>prioritaires</w:t>
      </w:r>
      <w:r w:rsidRPr="004366FD">
        <w:rPr>
          <w:rFonts w:ascii="Arial" w:hAnsi="Arial" w:cs="Arial"/>
          <w:sz w:val="24"/>
          <w:szCs w:val="24"/>
          <w:lang w:val="fr-CI"/>
        </w:rPr>
        <w:t xml:space="preserve"> et aux aspirations du cadre de résultats du FTYIP de l’Agenda 2063 ;</w:t>
      </w:r>
    </w:p>
    <w:p w:rsidR="004254DD" w:rsidRDefault="004254DD" w:rsidP="004254DD">
      <w:pPr>
        <w:spacing w:after="0" w:line="240" w:lineRule="auto"/>
        <w:ind w:left="1276"/>
        <w:contextualSpacing/>
        <w:jc w:val="both"/>
        <w:rPr>
          <w:rFonts w:ascii="Arial" w:hAnsi="Arial" w:cs="Arial"/>
          <w:sz w:val="24"/>
          <w:szCs w:val="24"/>
          <w:lang w:val="fr-CI"/>
        </w:rPr>
      </w:pPr>
    </w:p>
    <w:p w:rsidR="007552BE" w:rsidRPr="004366FD" w:rsidRDefault="007552BE" w:rsidP="004254DD">
      <w:pPr>
        <w:numPr>
          <w:ilvl w:val="0"/>
          <w:numId w:val="7"/>
        </w:numPr>
        <w:spacing w:after="0" w:line="240" w:lineRule="auto"/>
        <w:ind w:left="1276" w:hanging="567"/>
        <w:contextualSpacing/>
        <w:jc w:val="both"/>
        <w:rPr>
          <w:rFonts w:ascii="Arial" w:hAnsi="Arial" w:cs="Arial"/>
          <w:sz w:val="24"/>
          <w:szCs w:val="24"/>
          <w:lang w:val="fr-CI"/>
        </w:rPr>
      </w:pPr>
      <w:r w:rsidRPr="004366FD">
        <w:rPr>
          <w:rFonts w:ascii="Arial" w:hAnsi="Arial" w:cs="Arial"/>
          <w:sz w:val="24"/>
          <w:szCs w:val="24"/>
          <w:lang w:val="fr-CI"/>
        </w:rPr>
        <w:t>Une série de 78 «</w:t>
      </w:r>
      <w:r w:rsidR="00331E1D">
        <w:rPr>
          <w:rFonts w:ascii="Arial" w:hAnsi="Arial" w:cs="Arial"/>
          <w:sz w:val="24"/>
          <w:szCs w:val="24"/>
          <w:lang w:val="fr-CI"/>
        </w:rPr>
        <w:t> </w:t>
      </w:r>
      <w:r w:rsidRPr="004366FD">
        <w:rPr>
          <w:rFonts w:ascii="Arial" w:hAnsi="Arial" w:cs="Arial"/>
          <w:sz w:val="24"/>
          <w:szCs w:val="24"/>
          <w:lang w:val="fr-CI"/>
        </w:rPr>
        <w:t>indicateurs de base</w:t>
      </w:r>
      <w:r w:rsidR="00331E1D">
        <w:rPr>
          <w:rFonts w:ascii="Arial" w:hAnsi="Arial" w:cs="Arial"/>
          <w:sz w:val="24"/>
          <w:szCs w:val="24"/>
          <w:lang w:val="fr-CI"/>
        </w:rPr>
        <w:t> </w:t>
      </w:r>
      <w:r w:rsidRPr="004366FD">
        <w:rPr>
          <w:rFonts w:ascii="Arial" w:hAnsi="Arial" w:cs="Arial"/>
          <w:sz w:val="24"/>
          <w:szCs w:val="24"/>
          <w:lang w:val="fr-CI"/>
        </w:rPr>
        <w:t>» ont été identifiés à partir des indicateurs fournis par les CER et validés par les Directeurs généraux des Bureaux nationaux de statistique lors de la 12</w:t>
      </w:r>
      <w:r w:rsidRPr="004366FD">
        <w:rPr>
          <w:rFonts w:ascii="Arial" w:hAnsi="Arial" w:cs="Arial"/>
          <w:sz w:val="24"/>
          <w:szCs w:val="24"/>
          <w:vertAlign w:val="superscript"/>
          <w:lang w:val="fr-CI"/>
        </w:rPr>
        <w:t>e</w:t>
      </w:r>
      <w:r w:rsidRPr="004366FD">
        <w:rPr>
          <w:rFonts w:ascii="Arial" w:hAnsi="Arial" w:cs="Arial"/>
          <w:sz w:val="24"/>
          <w:szCs w:val="24"/>
          <w:lang w:val="fr-CI"/>
        </w:rPr>
        <w:t xml:space="preserve"> réunion de l’ASSD tenu à Tunis en novembre 2016. L’Agence du NEPAD et </w:t>
      </w:r>
      <w:proofErr w:type="spellStart"/>
      <w:r w:rsidRPr="004366FD">
        <w:rPr>
          <w:rFonts w:ascii="Arial" w:hAnsi="Arial" w:cs="Arial"/>
          <w:sz w:val="24"/>
          <w:szCs w:val="24"/>
          <w:lang w:val="fr-CI"/>
        </w:rPr>
        <w:t>Stats</w:t>
      </w:r>
      <w:proofErr w:type="spellEnd"/>
      <w:r w:rsidRPr="004366FD">
        <w:rPr>
          <w:rFonts w:ascii="Arial" w:hAnsi="Arial" w:cs="Arial"/>
          <w:sz w:val="24"/>
          <w:szCs w:val="24"/>
          <w:lang w:val="fr-CI"/>
        </w:rPr>
        <w:t xml:space="preserve"> SA ont été chargés de dresser le profil des indicateurs et d’élaborer les métadonnées.</w:t>
      </w:r>
    </w:p>
    <w:p w:rsidR="004254DD" w:rsidRDefault="004254DD" w:rsidP="004254DD">
      <w:pPr>
        <w:spacing w:after="0" w:line="240" w:lineRule="auto"/>
        <w:ind w:left="1276"/>
        <w:contextualSpacing/>
        <w:jc w:val="both"/>
        <w:rPr>
          <w:rFonts w:ascii="Arial" w:hAnsi="Arial" w:cs="Arial"/>
          <w:sz w:val="24"/>
          <w:szCs w:val="24"/>
          <w:lang w:val="fr-CI"/>
        </w:rPr>
      </w:pPr>
    </w:p>
    <w:p w:rsidR="007552BE" w:rsidRPr="004366FD" w:rsidRDefault="007552BE" w:rsidP="004254DD">
      <w:pPr>
        <w:numPr>
          <w:ilvl w:val="0"/>
          <w:numId w:val="7"/>
        </w:numPr>
        <w:spacing w:after="0" w:line="240" w:lineRule="auto"/>
        <w:ind w:left="1276" w:hanging="567"/>
        <w:contextualSpacing/>
        <w:jc w:val="both"/>
        <w:rPr>
          <w:rFonts w:ascii="Arial" w:hAnsi="Arial" w:cs="Arial"/>
          <w:sz w:val="24"/>
          <w:szCs w:val="24"/>
          <w:lang w:val="fr-CI"/>
        </w:rPr>
      </w:pPr>
      <w:r w:rsidRPr="004366FD">
        <w:rPr>
          <w:rFonts w:ascii="Arial" w:hAnsi="Arial" w:cs="Arial"/>
          <w:sz w:val="24"/>
          <w:szCs w:val="24"/>
          <w:lang w:val="fr-CI"/>
        </w:rPr>
        <w:t xml:space="preserve">Un atelier sur les coûts de la mise en œuvre du cadre de mesure au niveau national et le développement des stratégies de mobilisation des ressources et des technologies s’est tenu à Pretoria (Afrique du Sud) du 3 au 7 mai 2016. Il visait à aider l’Afrique à gérer les fonds acquis auprès des bailleurs de fonds pour la production de données qui informent la politique. En ce qui concerne la stratégie technologique, le problème réside dans le fait pour le continent de nouer les bons partenariats mondiaux au moment où nous nous enregistrons une plus grande </w:t>
      </w:r>
      <w:r w:rsidRPr="004366FD">
        <w:rPr>
          <w:rFonts w:ascii="Arial" w:hAnsi="Arial" w:cs="Arial"/>
          <w:sz w:val="24"/>
          <w:szCs w:val="24"/>
          <w:lang w:val="fr-CI"/>
        </w:rPr>
        <w:lastRenderedPageBreak/>
        <w:t>utilisation de la technologie. Les données et la technologie étant insociables, les statistiques ne peuvent donc pas être séparées de la technologie.</w:t>
      </w:r>
    </w:p>
    <w:p w:rsidR="004254DD" w:rsidRDefault="004254DD" w:rsidP="004254DD">
      <w:pPr>
        <w:spacing w:after="0" w:line="240" w:lineRule="auto"/>
        <w:ind w:left="1276"/>
        <w:contextualSpacing/>
        <w:jc w:val="both"/>
        <w:rPr>
          <w:rFonts w:ascii="Arial" w:hAnsi="Arial" w:cs="Arial"/>
          <w:sz w:val="24"/>
          <w:szCs w:val="24"/>
          <w:lang w:val="fr-CI"/>
        </w:rPr>
      </w:pPr>
    </w:p>
    <w:p w:rsidR="007552BE" w:rsidRPr="004366FD" w:rsidRDefault="007552BE" w:rsidP="004254DD">
      <w:pPr>
        <w:numPr>
          <w:ilvl w:val="0"/>
          <w:numId w:val="7"/>
        </w:numPr>
        <w:spacing w:after="0" w:line="240" w:lineRule="auto"/>
        <w:ind w:left="1276" w:hanging="567"/>
        <w:contextualSpacing/>
        <w:jc w:val="both"/>
        <w:rPr>
          <w:rFonts w:ascii="Arial" w:hAnsi="Arial" w:cs="Arial"/>
          <w:sz w:val="24"/>
          <w:szCs w:val="24"/>
          <w:lang w:val="fr-CI"/>
        </w:rPr>
      </w:pPr>
      <w:r w:rsidRPr="004366FD">
        <w:rPr>
          <w:rFonts w:ascii="Arial" w:hAnsi="Arial" w:cs="Arial"/>
          <w:sz w:val="24"/>
          <w:szCs w:val="24"/>
          <w:lang w:val="fr-CI"/>
        </w:rPr>
        <w:t>Élaboration des cartes à point de l’Agenda 2063 dans les zones ciblées dans le cadre de la validation des indicateurs :</w:t>
      </w:r>
    </w:p>
    <w:p w:rsidR="004254DD" w:rsidRDefault="004254DD" w:rsidP="004254DD">
      <w:pPr>
        <w:spacing w:after="0" w:line="240" w:lineRule="auto"/>
        <w:ind w:left="1080"/>
        <w:contextualSpacing/>
        <w:jc w:val="both"/>
        <w:rPr>
          <w:rFonts w:ascii="Arial" w:hAnsi="Arial" w:cs="Arial"/>
          <w:sz w:val="24"/>
          <w:szCs w:val="24"/>
          <w:lang w:val="fr-CI"/>
        </w:rPr>
      </w:pPr>
    </w:p>
    <w:p w:rsidR="007552BE" w:rsidRPr="004366FD" w:rsidRDefault="007552BE" w:rsidP="004254DD">
      <w:pPr>
        <w:numPr>
          <w:ilvl w:val="0"/>
          <w:numId w:val="8"/>
        </w:numPr>
        <w:spacing w:after="0" w:line="240" w:lineRule="auto"/>
        <w:ind w:left="1843" w:hanging="567"/>
        <w:contextualSpacing/>
        <w:jc w:val="both"/>
        <w:rPr>
          <w:rFonts w:ascii="Arial" w:hAnsi="Arial" w:cs="Arial"/>
          <w:sz w:val="24"/>
          <w:szCs w:val="24"/>
          <w:lang w:val="fr-CI"/>
        </w:rPr>
      </w:pPr>
      <w:r w:rsidRPr="004366FD">
        <w:rPr>
          <w:rFonts w:ascii="Arial" w:hAnsi="Arial" w:cs="Arial"/>
          <w:sz w:val="24"/>
          <w:szCs w:val="24"/>
          <w:lang w:val="fr-CI"/>
        </w:rPr>
        <w:t xml:space="preserve">La carte à point sur le genre a été évaluée et les indicateurs réaménagés de manière identique à ceux qui assurent le suivi de l’impact sur les aspects sociaux, </w:t>
      </w:r>
      <w:r w:rsidRPr="004366FD">
        <w:rPr>
          <w:rFonts w:ascii="Arial" w:eastAsia="Calibri" w:hAnsi="Arial" w:cs="Arial"/>
          <w:sz w:val="24"/>
          <w:szCs w:val="24"/>
          <w:lang w:val="fr-CI"/>
        </w:rPr>
        <w:t>économiques</w:t>
      </w:r>
      <w:r w:rsidRPr="004366FD">
        <w:rPr>
          <w:rFonts w:ascii="Arial" w:hAnsi="Arial" w:cs="Arial"/>
          <w:sz w:val="24"/>
          <w:szCs w:val="24"/>
          <w:lang w:val="fr-CI"/>
        </w:rPr>
        <w:t xml:space="preserve"> et de gouvernance. Ce document a été publié au cours du Sommet de juillet 2016.</w:t>
      </w:r>
    </w:p>
    <w:p w:rsidR="004254DD" w:rsidRDefault="004254DD" w:rsidP="004254DD">
      <w:pPr>
        <w:spacing w:after="0" w:line="240" w:lineRule="auto"/>
        <w:ind w:left="1843"/>
        <w:contextualSpacing/>
        <w:jc w:val="both"/>
        <w:rPr>
          <w:rFonts w:ascii="Arial" w:hAnsi="Arial" w:cs="Arial"/>
          <w:sz w:val="24"/>
          <w:szCs w:val="24"/>
          <w:lang w:val="fr-CI"/>
        </w:rPr>
      </w:pPr>
    </w:p>
    <w:p w:rsidR="007552BE" w:rsidRPr="004366FD" w:rsidRDefault="007552BE" w:rsidP="004254DD">
      <w:pPr>
        <w:numPr>
          <w:ilvl w:val="0"/>
          <w:numId w:val="8"/>
        </w:numPr>
        <w:spacing w:after="0" w:line="240" w:lineRule="auto"/>
        <w:ind w:left="1843" w:hanging="567"/>
        <w:contextualSpacing/>
        <w:jc w:val="both"/>
        <w:rPr>
          <w:rFonts w:ascii="Arial" w:hAnsi="Arial" w:cs="Arial"/>
          <w:sz w:val="24"/>
          <w:szCs w:val="24"/>
          <w:lang w:val="fr-CI"/>
        </w:rPr>
      </w:pPr>
      <w:r w:rsidRPr="004366FD">
        <w:rPr>
          <w:rFonts w:ascii="Arial" w:hAnsi="Arial" w:cs="Arial"/>
          <w:sz w:val="24"/>
          <w:szCs w:val="24"/>
          <w:lang w:val="fr-CI"/>
        </w:rPr>
        <w:t>Le Département de Paix et de Sécurité développe également une carte à points pour l’APSA, lequel fera le suivi de la mise en œuvre de l’un des projets phares, celui de «</w:t>
      </w:r>
      <w:r w:rsidR="00331E1D">
        <w:rPr>
          <w:rFonts w:ascii="Arial" w:hAnsi="Arial" w:cs="Arial"/>
          <w:sz w:val="24"/>
          <w:szCs w:val="24"/>
          <w:lang w:val="fr-CI"/>
        </w:rPr>
        <w:t> </w:t>
      </w:r>
      <w:r w:rsidRPr="004366FD">
        <w:rPr>
          <w:rFonts w:ascii="Arial" w:hAnsi="Arial" w:cs="Arial"/>
          <w:sz w:val="24"/>
          <w:szCs w:val="24"/>
          <w:lang w:val="fr-CI"/>
        </w:rPr>
        <w:t>Faire taire les armes d’ici 2020</w:t>
      </w:r>
      <w:r w:rsidR="00331E1D">
        <w:rPr>
          <w:rFonts w:ascii="Arial" w:hAnsi="Arial" w:cs="Arial"/>
          <w:sz w:val="24"/>
          <w:szCs w:val="24"/>
          <w:lang w:val="fr-CI"/>
        </w:rPr>
        <w:t> </w:t>
      </w:r>
      <w:r w:rsidRPr="004366FD">
        <w:rPr>
          <w:rFonts w:ascii="Arial" w:hAnsi="Arial" w:cs="Arial"/>
          <w:sz w:val="24"/>
          <w:szCs w:val="24"/>
          <w:lang w:val="fr-CI"/>
        </w:rPr>
        <w:t>».</w:t>
      </w:r>
    </w:p>
    <w:p w:rsidR="004254DD" w:rsidRDefault="004254DD" w:rsidP="004254DD">
      <w:pPr>
        <w:spacing w:after="0" w:line="240" w:lineRule="auto"/>
        <w:ind w:left="1843"/>
        <w:contextualSpacing/>
        <w:jc w:val="both"/>
        <w:rPr>
          <w:rFonts w:ascii="Arial" w:hAnsi="Arial" w:cs="Arial"/>
          <w:sz w:val="24"/>
          <w:szCs w:val="24"/>
          <w:lang w:val="fr-CI"/>
        </w:rPr>
      </w:pPr>
    </w:p>
    <w:p w:rsidR="007552BE" w:rsidRPr="004366FD" w:rsidRDefault="007552BE" w:rsidP="004254DD">
      <w:pPr>
        <w:numPr>
          <w:ilvl w:val="0"/>
          <w:numId w:val="8"/>
        </w:numPr>
        <w:spacing w:after="0" w:line="240" w:lineRule="auto"/>
        <w:ind w:left="1843" w:hanging="567"/>
        <w:contextualSpacing/>
        <w:jc w:val="both"/>
        <w:rPr>
          <w:rFonts w:ascii="Arial" w:hAnsi="Arial" w:cs="Arial"/>
          <w:sz w:val="24"/>
          <w:szCs w:val="24"/>
          <w:lang w:val="fr-CI"/>
        </w:rPr>
      </w:pPr>
      <w:r w:rsidRPr="004366FD">
        <w:rPr>
          <w:rFonts w:ascii="Arial" w:hAnsi="Arial" w:cs="Arial"/>
          <w:sz w:val="24"/>
          <w:szCs w:val="24"/>
          <w:lang w:val="fr-CI"/>
        </w:rPr>
        <w:t>Des négociations préliminaires ont été menées avec le Département des affaires politiques afin d’élaborer une carte à points sur la gouvernance, en s’appuyant sur l’expérience acquise avec la carte à points sur le genre, ce avec l’aide du Cap-Vert.</w:t>
      </w:r>
    </w:p>
    <w:p w:rsidR="004254DD" w:rsidRDefault="004254DD" w:rsidP="004254DD">
      <w:pPr>
        <w:spacing w:after="0" w:line="240" w:lineRule="auto"/>
        <w:ind w:left="1843"/>
        <w:contextualSpacing/>
        <w:jc w:val="both"/>
        <w:rPr>
          <w:rFonts w:ascii="Arial" w:hAnsi="Arial" w:cs="Arial"/>
          <w:sz w:val="24"/>
          <w:szCs w:val="24"/>
          <w:lang w:val="fr-CI"/>
        </w:rPr>
      </w:pPr>
    </w:p>
    <w:p w:rsidR="007552BE" w:rsidRPr="004366FD" w:rsidRDefault="007552BE" w:rsidP="004254DD">
      <w:pPr>
        <w:numPr>
          <w:ilvl w:val="0"/>
          <w:numId w:val="8"/>
        </w:numPr>
        <w:spacing w:after="0" w:line="240" w:lineRule="auto"/>
        <w:ind w:left="1843" w:hanging="567"/>
        <w:contextualSpacing/>
        <w:jc w:val="both"/>
        <w:rPr>
          <w:rFonts w:ascii="Arial" w:hAnsi="Arial" w:cs="Arial"/>
          <w:sz w:val="24"/>
          <w:szCs w:val="24"/>
          <w:lang w:val="fr-CI"/>
        </w:rPr>
      </w:pPr>
      <w:r w:rsidRPr="004366FD">
        <w:rPr>
          <w:rFonts w:ascii="Arial" w:hAnsi="Arial" w:cs="Arial"/>
          <w:sz w:val="24"/>
          <w:szCs w:val="24"/>
          <w:lang w:val="fr-CI"/>
        </w:rPr>
        <w:t>Le Département des affaires sociales négocie également avec l’Institut de statistique de l’UNESCO pour élaborer une carte à points sur la culture.</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4254DD">
      <w:pPr>
        <w:numPr>
          <w:ilvl w:val="0"/>
          <w:numId w:val="21"/>
        </w:numPr>
        <w:spacing w:after="0" w:line="240" w:lineRule="auto"/>
        <w:ind w:left="1985" w:hanging="567"/>
        <w:contextualSpacing/>
        <w:jc w:val="both"/>
        <w:rPr>
          <w:rFonts w:ascii="Arial" w:eastAsia="Calibri" w:hAnsi="Arial" w:cs="Arial"/>
          <w:b/>
          <w:sz w:val="24"/>
          <w:szCs w:val="24"/>
          <w:lang w:val="fr-CI"/>
        </w:rPr>
      </w:pPr>
      <w:r w:rsidRPr="004366FD">
        <w:rPr>
          <w:rFonts w:ascii="Arial" w:eastAsia="Calibri" w:hAnsi="Arial" w:cs="Arial"/>
          <w:b/>
          <w:sz w:val="24"/>
          <w:szCs w:val="24"/>
          <w:lang w:val="fr-CI"/>
        </w:rPr>
        <w:t>Convergence</w:t>
      </w:r>
      <w:r w:rsidR="00331E1D">
        <w:rPr>
          <w:rFonts w:ascii="Arial" w:eastAsia="Calibri" w:hAnsi="Arial" w:cs="Arial"/>
          <w:b/>
          <w:sz w:val="24"/>
          <w:szCs w:val="24"/>
          <w:lang w:val="fr-CI"/>
        </w:rPr>
        <w:t>/</w:t>
      </w:r>
      <w:r w:rsidRPr="004366FD">
        <w:rPr>
          <w:rFonts w:ascii="Arial" w:eastAsia="Calibri" w:hAnsi="Arial" w:cs="Arial"/>
          <w:b/>
          <w:sz w:val="24"/>
          <w:szCs w:val="24"/>
          <w:lang w:val="fr-CI"/>
        </w:rPr>
        <w:t>alignement des cadres de S</w:t>
      </w:r>
      <w:r w:rsidR="00331E1D">
        <w:rPr>
          <w:rFonts w:ascii="Arial" w:eastAsia="Calibri" w:hAnsi="Arial" w:cs="Arial"/>
          <w:b/>
          <w:sz w:val="24"/>
          <w:szCs w:val="24"/>
          <w:lang w:val="fr-CI"/>
        </w:rPr>
        <w:t xml:space="preserve"> </w:t>
      </w:r>
      <w:r w:rsidRPr="004366FD">
        <w:rPr>
          <w:rFonts w:ascii="Arial" w:eastAsia="Calibri" w:hAnsi="Arial" w:cs="Arial"/>
          <w:b/>
          <w:sz w:val="24"/>
          <w:szCs w:val="24"/>
          <w:lang w:val="fr-CI"/>
        </w:rPr>
        <w:t>&amp;</w:t>
      </w:r>
      <w:r w:rsidR="00331E1D">
        <w:rPr>
          <w:rFonts w:ascii="Arial" w:eastAsia="Calibri" w:hAnsi="Arial" w:cs="Arial"/>
          <w:b/>
          <w:sz w:val="24"/>
          <w:szCs w:val="24"/>
          <w:lang w:val="fr-CI"/>
        </w:rPr>
        <w:t xml:space="preserve"> </w:t>
      </w:r>
      <w:r w:rsidRPr="004366FD">
        <w:rPr>
          <w:rFonts w:ascii="Arial" w:eastAsia="Calibri" w:hAnsi="Arial" w:cs="Arial"/>
          <w:b/>
          <w:sz w:val="24"/>
          <w:szCs w:val="24"/>
          <w:lang w:val="fr-CI"/>
        </w:rPr>
        <w:t>E des RECS en vue de l’Agenda 2063</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Les CER sont invitées à jouer un rôle essentiel dans la mise en œuvre du FTYIP de l’Agenda 2063 en ce qui concerne la réalisation des objectifs au niveau régional, mais également en raison du rôle d’interface qu’elles sont censées jouer au niveau national et continental, notamment en ce qui concerne le suivi et l’évaluation.</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La Commission continue donc de travailler en étroite collaboration avec les CER dans le cadre d’un effort de collaboration pour assurer l’alignement de leurs cadres de suivi et d’évaluation sur l’Agenda 2063. Des progrès importants ont été accomplis, tel qu’indiqué comme suit :</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Processus</w:t>
      </w:r>
      <w:r w:rsidR="004254DD">
        <w:rPr>
          <w:rFonts w:ascii="Arial" w:hAnsi="Arial" w:cs="Arial"/>
          <w:sz w:val="24"/>
          <w:szCs w:val="24"/>
          <w:lang w:val="fr-CI"/>
        </w:rPr>
        <w:t> :</w:t>
      </w:r>
    </w:p>
    <w:p w:rsidR="004254DD" w:rsidRPr="004366FD" w:rsidRDefault="004254DD" w:rsidP="00AE2F12">
      <w:pPr>
        <w:spacing w:after="0" w:line="240" w:lineRule="auto"/>
        <w:contextualSpacing/>
        <w:jc w:val="both"/>
        <w:rPr>
          <w:rFonts w:ascii="Arial" w:hAnsi="Arial" w:cs="Arial"/>
          <w:sz w:val="24"/>
          <w:szCs w:val="24"/>
          <w:lang w:val="fr-CI"/>
        </w:rPr>
      </w:pPr>
    </w:p>
    <w:p w:rsidR="007552BE" w:rsidRPr="004366FD" w:rsidRDefault="004254DD" w:rsidP="004254DD">
      <w:pPr>
        <w:numPr>
          <w:ilvl w:val="0"/>
          <w:numId w:val="8"/>
        </w:numPr>
        <w:spacing w:after="0" w:line="240" w:lineRule="auto"/>
        <w:ind w:left="1276" w:hanging="556"/>
        <w:contextualSpacing/>
        <w:jc w:val="both"/>
        <w:rPr>
          <w:rFonts w:ascii="Arial" w:hAnsi="Arial" w:cs="Arial"/>
          <w:sz w:val="24"/>
          <w:szCs w:val="24"/>
          <w:lang w:val="fr-CI"/>
        </w:rPr>
      </w:pPr>
      <w:r>
        <w:rPr>
          <w:rFonts w:ascii="Arial" w:hAnsi="Arial" w:cs="Arial"/>
          <w:sz w:val="24"/>
          <w:szCs w:val="24"/>
          <w:lang w:val="fr-CI"/>
        </w:rPr>
        <w:t>u</w:t>
      </w:r>
      <w:r w:rsidR="007552BE" w:rsidRPr="004366FD">
        <w:rPr>
          <w:rFonts w:ascii="Arial" w:hAnsi="Arial" w:cs="Arial"/>
          <w:sz w:val="24"/>
          <w:szCs w:val="24"/>
          <w:lang w:val="fr-CI"/>
        </w:rPr>
        <w:t xml:space="preserve">n </w:t>
      </w:r>
      <w:r w:rsidR="007552BE" w:rsidRPr="00750DF1">
        <w:rPr>
          <w:rFonts w:ascii="Arial" w:hAnsi="Arial" w:cs="Arial"/>
          <w:sz w:val="24"/>
          <w:szCs w:val="24"/>
          <w:lang w:val="fr-CI"/>
        </w:rPr>
        <w:t xml:space="preserve">partenariat </w:t>
      </w:r>
      <w:r w:rsidR="007552BE" w:rsidRPr="00750DF1">
        <w:rPr>
          <w:rFonts w:ascii="Arial" w:eastAsia="Calibri" w:hAnsi="Arial" w:cs="Arial"/>
          <w:sz w:val="24"/>
          <w:szCs w:val="24"/>
          <w:lang w:val="fr-CI"/>
        </w:rPr>
        <w:t>multi-partie</w:t>
      </w:r>
      <w:r w:rsidR="00190EDB" w:rsidRPr="00AE2F12">
        <w:rPr>
          <w:rFonts w:ascii="Arial" w:eastAsia="Calibri" w:hAnsi="Arial" w:cs="Arial"/>
          <w:sz w:val="24"/>
          <w:szCs w:val="24"/>
          <w:lang w:val="fr-CI"/>
        </w:rPr>
        <w:t>s</w:t>
      </w:r>
      <w:r w:rsidR="007552BE" w:rsidRPr="00750DF1">
        <w:rPr>
          <w:rFonts w:ascii="Arial" w:eastAsia="Calibri" w:hAnsi="Arial" w:cs="Arial"/>
          <w:sz w:val="24"/>
          <w:szCs w:val="24"/>
          <w:lang w:val="fr-CI"/>
        </w:rPr>
        <w:t xml:space="preserve"> prenantes</w:t>
      </w:r>
      <w:r w:rsidR="007552BE" w:rsidRPr="00750DF1">
        <w:rPr>
          <w:rFonts w:ascii="Arial" w:hAnsi="Arial" w:cs="Arial"/>
          <w:sz w:val="24"/>
          <w:szCs w:val="24"/>
          <w:lang w:val="fr-CI"/>
        </w:rPr>
        <w:t xml:space="preserve"> impliquant</w:t>
      </w:r>
      <w:r w:rsidR="007552BE" w:rsidRPr="004366FD">
        <w:rPr>
          <w:rFonts w:ascii="Arial" w:hAnsi="Arial" w:cs="Arial"/>
          <w:sz w:val="24"/>
          <w:szCs w:val="24"/>
          <w:lang w:val="fr-CI"/>
        </w:rPr>
        <w:t xml:space="preserve"> les huit CER et les principales institutions de collaboration (CUA, ASSD, CEA, BAD, ACBF, etc.) a été mis en place ;</w:t>
      </w:r>
    </w:p>
    <w:p w:rsidR="004254DD" w:rsidRDefault="004254DD" w:rsidP="004254DD">
      <w:pPr>
        <w:spacing w:after="0" w:line="240" w:lineRule="auto"/>
        <w:ind w:left="1276"/>
        <w:contextualSpacing/>
        <w:jc w:val="both"/>
        <w:rPr>
          <w:rFonts w:ascii="Arial" w:hAnsi="Arial" w:cs="Arial"/>
          <w:sz w:val="24"/>
          <w:szCs w:val="24"/>
          <w:lang w:val="fr-CI"/>
        </w:rPr>
      </w:pPr>
    </w:p>
    <w:p w:rsidR="007552BE" w:rsidRPr="004366FD" w:rsidRDefault="004254DD" w:rsidP="004254DD">
      <w:pPr>
        <w:numPr>
          <w:ilvl w:val="0"/>
          <w:numId w:val="8"/>
        </w:numPr>
        <w:spacing w:after="0" w:line="240" w:lineRule="auto"/>
        <w:ind w:left="1276" w:hanging="556"/>
        <w:contextualSpacing/>
        <w:jc w:val="both"/>
        <w:rPr>
          <w:rFonts w:ascii="Arial" w:hAnsi="Arial" w:cs="Arial"/>
          <w:sz w:val="24"/>
          <w:szCs w:val="24"/>
          <w:lang w:val="fr-CI"/>
        </w:rPr>
      </w:pPr>
      <w:r>
        <w:rPr>
          <w:rFonts w:ascii="Arial" w:hAnsi="Arial" w:cs="Arial"/>
          <w:sz w:val="24"/>
          <w:szCs w:val="24"/>
          <w:lang w:val="fr-CI"/>
        </w:rPr>
        <w:t>u</w:t>
      </w:r>
      <w:r w:rsidR="007552BE" w:rsidRPr="004366FD">
        <w:rPr>
          <w:rFonts w:ascii="Arial" w:hAnsi="Arial" w:cs="Arial"/>
          <w:sz w:val="24"/>
          <w:szCs w:val="24"/>
          <w:lang w:val="fr-CI"/>
        </w:rPr>
        <w:t>ne série de réunions techniques sont régulièrement organisées afin de dégager un con</w:t>
      </w:r>
      <w:r>
        <w:rPr>
          <w:rFonts w:ascii="Arial" w:hAnsi="Arial" w:cs="Arial"/>
          <w:sz w:val="24"/>
          <w:szCs w:val="24"/>
          <w:lang w:val="fr-CI"/>
        </w:rPr>
        <w:t>sensus sur les travaux en cours ;</w:t>
      </w:r>
    </w:p>
    <w:p w:rsidR="004254DD" w:rsidRDefault="004254DD" w:rsidP="004254DD">
      <w:pPr>
        <w:spacing w:after="0" w:line="240" w:lineRule="auto"/>
        <w:ind w:left="1276"/>
        <w:contextualSpacing/>
        <w:jc w:val="both"/>
        <w:rPr>
          <w:rFonts w:ascii="Arial" w:hAnsi="Arial" w:cs="Arial"/>
          <w:sz w:val="24"/>
          <w:szCs w:val="24"/>
          <w:lang w:val="fr-CI"/>
        </w:rPr>
      </w:pPr>
    </w:p>
    <w:p w:rsidR="007552BE" w:rsidRPr="004366FD" w:rsidRDefault="004254DD" w:rsidP="004254DD">
      <w:pPr>
        <w:numPr>
          <w:ilvl w:val="0"/>
          <w:numId w:val="8"/>
        </w:numPr>
        <w:spacing w:after="0" w:line="240" w:lineRule="auto"/>
        <w:ind w:left="1276" w:hanging="556"/>
        <w:contextualSpacing/>
        <w:jc w:val="both"/>
        <w:rPr>
          <w:rFonts w:ascii="Arial" w:hAnsi="Arial" w:cs="Arial"/>
          <w:sz w:val="24"/>
          <w:szCs w:val="24"/>
          <w:lang w:val="fr-CI"/>
        </w:rPr>
      </w:pPr>
      <w:r>
        <w:rPr>
          <w:rFonts w:ascii="Arial" w:hAnsi="Arial" w:cs="Arial"/>
          <w:sz w:val="24"/>
          <w:szCs w:val="24"/>
          <w:lang w:val="fr-CI"/>
        </w:rPr>
        <w:t>u</w:t>
      </w:r>
      <w:r w:rsidR="007552BE" w:rsidRPr="004366FD">
        <w:rPr>
          <w:rFonts w:ascii="Arial" w:hAnsi="Arial" w:cs="Arial"/>
          <w:sz w:val="24"/>
          <w:szCs w:val="24"/>
          <w:lang w:val="fr-CI"/>
        </w:rPr>
        <w:t>ne feuille de route a été convenue avec toutes les parties prenantes, notamment avec les huit CER, en vue de finaliser le cadre de S</w:t>
      </w:r>
      <w:r w:rsidR="00331E1D">
        <w:rPr>
          <w:rFonts w:ascii="Arial" w:hAnsi="Arial" w:cs="Arial"/>
          <w:sz w:val="24"/>
          <w:szCs w:val="24"/>
          <w:lang w:val="fr-CI"/>
        </w:rPr>
        <w:t xml:space="preserve"> </w:t>
      </w:r>
      <w:r w:rsidR="007552BE" w:rsidRPr="004366FD">
        <w:rPr>
          <w:rFonts w:ascii="Arial" w:hAnsi="Arial" w:cs="Arial"/>
          <w:sz w:val="24"/>
          <w:szCs w:val="24"/>
          <w:lang w:val="fr-CI"/>
        </w:rPr>
        <w:t>&amp;</w:t>
      </w:r>
      <w:r w:rsidR="00331E1D">
        <w:rPr>
          <w:rFonts w:ascii="Arial" w:hAnsi="Arial" w:cs="Arial"/>
          <w:sz w:val="24"/>
          <w:szCs w:val="24"/>
          <w:lang w:val="fr-CI"/>
        </w:rPr>
        <w:t xml:space="preserve"> </w:t>
      </w:r>
      <w:r w:rsidR="007552BE" w:rsidRPr="004366FD">
        <w:rPr>
          <w:rFonts w:ascii="Arial" w:hAnsi="Arial" w:cs="Arial"/>
          <w:sz w:val="24"/>
          <w:szCs w:val="24"/>
          <w:lang w:val="fr-CI"/>
        </w:rPr>
        <w:t>E.</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Résultats</w:t>
      </w:r>
      <w:r w:rsidR="004254DD">
        <w:rPr>
          <w:rFonts w:ascii="Arial" w:hAnsi="Arial" w:cs="Arial"/>
          <w:sz w:val="24"/>
          <w:szCs w:val="24"/>
          <w:lang w:val="fr-CI"/>
        </w:rPr>
        <w:t> :</w:t>
      </w:r>
    </w:p>
    <w:p w:rsidR="004254DD" w:rsidRPr="004366FD" w:rsidRDefault="004254DD" w:rsidP="00AE2F12">
      <w:pPr>
        <w:spacing w:after="0" w:line="240" w:lineRule="auto"/>
        <w:contextualSpacing/>
        <w:jc w:val="both"/>
        <w:rPr>
          <w:rFonts w:ascii="Arial" w:hAnsi="Arial" w:cs="Arial"/>
          <w:sz w:val="24"/>
          <w:szCs w:val="24"/>
          <w:lang w:val="fr-CI"/>
        </w:rPr>
      </w:pPr>
    </w:p>
    <w:p w:rsidR="007552BE" w:rsidRPr="004366FD" w:rsidRDefault="007552BE" w:rsidP="004254DD">
      <w:pPr>
        <w:numPr>
          <w:ilvl w:val="0"/>
          <w:numId w:val="8"/>
        </w:numPr>
        <w:spacing w:after="0" w:line="240" w:lineRule="auto"/>
        <w:ind w:left="1276" w:hanging="556"/>
        <w:contextualSpacing/>
        <w:jc w:val="both"/>
        <w:rPr>
          <w:rFonts w:ascii="Arial" w:hAnsi="Arial" w:cs="Arial"/>
          <w:sz w:val="24"/>
          <w:szCs w:val="24"/>
          <w:lang w:val="fr-CI"/>
        </w:rPr>
      </w:pPr>
      <w:r w:rsidRPr="004366FD">
        <w:rPr>
          <w:rFonts w:ascii="Arial" w:hAnsi="Arial" w:cs="Arial"/>
          <w:sz w:val="24"/>
          <w:szCs w:val="24"/>
          <w:lang w:val="fr-CI"/>
        </w:rPr>
        <w:t>Le cycle de suivi, notamment la fréquence et la durée d’obtention des données/informations de suivi auprès des États membres, ainsi que la fréquence et le calendrier de production des rapports de suivi ont été convenus.</w:t>
      </w:r>
    </w:p>
    <w:p w:rsidR="004254DD" w:rsidRDefault="004254DD" w:rsidP="004254DD">
      <w:pPr>
        <w:spacing w:after="0" w:line="240" w:lineRule="auto"/>
        <w:ind w:left="2160"/>
        <w:contextualSpacing/>
        <w:jc w:val="both"/>
        <w:rPr>
          <w:rFonts w:ascii="Arial" w:hAnsi="Arial" w:cs="Arial"/>
          <w:sz w:val="24"/>
          <w:szCs w:val="24"/>
          <w:lang w:val="fr-CI"/>
        </w:rPr>
      </w:pPr>
    </w:p>
    <w:p w:rsidR="007552BE" w:rsidRPr="004366FD" w:rsidRDefault="007552BE" w:rsidP="004254DD">
      <w:pPr>
        <w:numPr>
          <w:ilvl w:val="1"/>
          <w:numId w:val="8"/>
        </w:numPr>
        <w:spacing w:after="0" w:line="240" w:lineRule="auto"/>
        <w:ind w:left="1843" w:hanging="567"/>
        <w:contextualSpacing/>
        <w:jc w:val="both"/>
        <w:rPr>
          <w:rFonts w:ascii="Arial" w:hAnsi="Arial" w:cs="Arial"/>
          <w:sz w:val="24"/>
          <w:szCs w:val="24"/>
          <w:lang w:val="fr-CI"/>
        </w:rPr>
      </w:pPr>
      <w:r w:rsidRPr="004366FD">
        <w:rPr>
          <w:rFonts w:ascii="Arial" w:hAnsi="Arial" w:cs="Arial"/>
          <w:sz w:val="24"/>
          <w:szCs w:val="24"/>
          <w:lang w:val="fr-CI"/>
        </w:rPr>
        <w:t>Cycle annuel d’établissement des rapports pour les États membres ;</w:t>
      </w:r>
    </w:p>
    <w:p w:rsidR="007552BE" w:rsidRPr="004366FD" w:rsidRDefault="007552BE" w:rsidP="004254DD">
      <w:pPr>
        <w:numPr>
          <w:ilvl w:val="1"/>
          <w:numId w:val="8"/>
        </w:numPr>
        <w:spacing w:after="0" w:line="240" w:lineRule="auto"/>
        <w:ind w:left="1843" w:hanging="567"/>
        <w:contextualSpacing/>
        <w:jc w:val="both"/>
        <w:rPr>
          <w:rFonts w:ascii="Arial" w:hAnsi="Arial" w:cs="Arial"/>
          <w:sz w:val="24"/>
          <w:szCs w:val="24"/>
          <w:lang w:val="fr-CI"/>
        </w:rPr>
      </w:pPr>
      <w:r w:rsidRPr="004366FD">
        <w:rPr>
          <w:rFonts w:ascii="Arial" w:hAnsi="Arial" w:cs="Arial"/>
          <w:sz w:val="24"/>
          <w:szCs w:val="24"/>
          <w:lang w:val="fr-CI"/>
        </w:rPr>
        <w:t>Cycles biannuels au niveau régional pour la CUA.</w:t>
      </w:r>
    </w:p>
    <w:p w:rsidR="004254DD" w:rsidRDefault="004254DD" w:rsidP="004254DD">
      <w:pPr>
        <w:spacing w:after="0" w:line="240" w:lineRule="auto"/>
        <w:ind w:left="1276"/>
        <w:contextualSpacing/>
        <w:jc w:val="both"/>
        <w:rPr>
          <w:rFonts w:ascii="Arial" w:hAnsi="Arial" w:cs="Arial"/>
          <w:sz w:val="24"/>
          <w:szCs w:val="24"/>
          <w:lang w:val="fr-CI"/>
        </w:rPr>
      </w:pPr>
    </w:p>
    <w:p w:rsidR="007552BE" w:rsidRPr="004366FD" w:rsidRDefault="007552BE" w:rsidP="004254DD">
      <w:pPr>
        <w:numPr>
          <w:ilvl w:val="0"/>
          <w:numId w:val="8"/>
        </w:numPr>
        <w:spacing w:after="0" w:line="240" w:lineRule="auto"/>
        <w:ind w:left="1276" w:hanging="556"/>
        <w:contextualSpacing/>
        <w:jc w:val="both"/>
        <w:rPr>
          <w:rFonts w:ascii="Arial" w:hAnsi="Arial" w:cs="Arial"/>
          <w:sz w:val="24"/>
          <w:szCs w:val="24"/>
          <w:lang w:val="fr-CI"/>
        </w:rPr>
      </w:pPr>
      <w:r w:rsidRPr="004366FD">
        <w:rPr>
          <w:rFonts w:ascii="Arial" w:hAnsi="Arial" w:cs="Arial"/>
          <w:sz w:val="24"/>
          <w:szCs w:val="24"/>
          <w:lang w:val="fr-CI"/>
        </w:rPr>
        <w:t>Cohérence des formats de rapports qui seront générés électroniquement par chaque CER.</w:t>
      </w:r>
    </w:p>
    <w:p w:rsidR="004254DD" w:rsidRDefault="004254DD" w:rsidP="004254DD">
      <w:pPr>
        <w:spacing w:after="0" w:line="240" w:lineRule="auto"/>
        <w:ind w:left="1276"/>
        <w:contextualSpacing/>
        <w:jc w:val="both"/>
        <w:rPr>
          <w:rFonts w:ascii="Arial" w:hAnsi="Arial" w:cs="Arial"/>
          <w:sz w:val="24"/>
          <w:szCs w:val="24"/>
          <w:lang w:val="fr-CI"/>
        </w:rPr>
      </w:pPr>
    </w:p>
    <w:p w:rsidR="007552BE" w:rsidRPr="004366FD" w:rsidRDefault="007552BE" w:rsidP="004254DD">
      <w:pPr>
        <w:numPr>
          <w:ilvl w:val="0"/>
          <w:numId w:val="8"/>
        </w:numPr>
        <w:spacing w:after="0" w:line="240" w:lineRule="auto"/>
        <w:ind w:left="1276" w:hanging="556"/>
        <w:contextualSpacing/>
        <w:jc w:val="both"/>
        <w:rPr>
          <w:rFonts w:ascii="Arial" w:hAnsi="Arial" w:cs="Arial"/>
          <w:sz w:val="24"/>
          <w:szCs w:val="24"/>
          <w:lang w:val="fr-CI"/>
        </w:rPr>
      </w:pPr>
      <w:r w:rsidRPr="004366FD">
        <w:rPr>
          <w:rFonts w:ascii="Arial" w:hAnsi="Arial" w:cs="Arial"/>
          <w:sz w:val="24"/>
          <w:szCs w:val="24"/>
          <w:lang w:val="fr-CI"/>
        </w:rPr>
        <w:t xml:space="preserve">Un projet de modèle de rapport pour l’Agenda 2063 a été élaboré. Le modèle est conçu pour faire rapport sur les priorités nationales, le FTYIP de l’Agenda 2063 et les ODD sans toutefois épuiser les ressources nationales comme l’a demandé le </w:t>
      </w:r>
      <w:r w:rsidRPr="004366FD">
        <w:rPr>
          <w:rFonts w:ascii="Arial" w:hAnsi="Arial" w:cs="Arial"/>
          <w:i/>
          <w:sz w:val="24"/>
          <w:szCs w:val="24"/>
          <w:lang w:val="fr-CI"/>
        </w:rPr>
        <w:t>STC sur les finances, les affaires monétaires, la planification et l’intégration économiques</w:t>
      </w:r>
      <w:r w:rsidRPr="004366FD">
        <w:rPr>
          <w:rFonts w:ascii="Arial" w:hAnsi="Arial" w:cs="Arial"/>
          <w:sz w:val="24"/>
          <w:szCs w:val="24"/>
          <w:lang w:val="fr-CI"/>
        </w:rPr>
        <w:t>.</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Un projet de cadre de S</w:t>
      </w:r>
      <w:r w:rsidR="00331E1D">
        <w:rPr>
          <w:rFonts w:ascii="Arial" w:hAnsi="Arial" w:cs="Arial"/>
          <w:sz w:val="24"/>
          <w:szCs w:val="24"/>
          <w:lang w:val="fr-CI"/>
        </w:rPr>
        <w:t xml:space="preserve"> </w:t>
      </w:r>
      <w:r w:rsidRPr="004366FD">
        <w:rPr>
          <w:rFonts w:ascii="Arial" w:hAnsi="Arial" w:cs="Arial"/>
          <w:sz w:val="24"/>
          <w:szCs w:val="24"/>
          <w:lang w:val="fr-CI"/>
        </w:rPr>
        <w:t>&amp;</w:t>
      </w:r>
      <w:r w:rsidR="00331E1D">
        <w:rPr>
          <w:rFonts w:ascii="Arial" w:hAnsi="Arial" w:cs="Arial"/>
          <w:sz w:val="24"/>
          <w:szCs w:val="24"/>
          <w:lang w:val="fr-CI"/>
        </w:rPr>
        <w:t xml:space="preserve"> </w:t>
      </w:r>
      <w:r w:rsidRPr="004366FD">
        <w:rPr>
          <w:rFonts w:ascii="Arial" w:hAnsi="Arial" w:cs="Arial"/>
          <w:sz w:val="24"/>
          <w:szCs w:val="24"/>
          <w:lang w:val="fr-CI"/>
        </w:rPr>
        <w:t>E devrait être présenté au CTS lors de la réunion de mars 2017 avant son approbation finale par le Sommet de juin 2017.</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Default="007552BE" w:rsidP="00AE2F12">
      <w:pPr>
        <w:spacing w:after="0" w:line="240" w:lineRule="auto"/>
        <w:contextualSpacing/>
        <w:jc w:val="both"/>
        <w:rPr>
          <w:rFonts w:ascii="Arial" w:hAnsi="Arial" w:cs="Arial"/>
          <w:b/>
          <w:sz w:val="24"/>
          <w:szCs w:val="24"/>
          <w:lang w:val="fr-CI"/>
        </w:rPr>
      </w:pPr>
      <w:r w:rsidRPr="004366FD">
        <w:rPr>
          <w:rFonts w:ascii="Arial" w:hAnsi="Arial" w:cs="Arial"/>
          <w:b/>
          <w:sz w:val="24"/>
          <w:szCs w:val="24"/>
          <w:lang w:val="fr-CI"/>
        </w:rPr>
        <w:t>Sur la base de ce qui précède, les organes délibérants sont invités à prendre note des progrès réalisés, à examiner, à enrichir et à adopter les mesures suivantes qui ont été proposées :</w:t>
      </w:r>
    </w:p>
    <w:p w:rsidR="004254DD" w:rsidRPr="004366FD" w:rsidRDefault="004254DD" w:rsidP="00AE2F12">
      <w:pPr>
        <w:spacing w:after="0" w:line="240" w:lineRule="auto"/>
        <w:contextualSpacing/>
        <w:jc w:val="both"/>
        <w:rPr>
          <w:rFonts w:ascii="Arial" w:hAnsi="Arial" w:cs="Arial"/>
          <w:b/>
          <w:sz w:val="24"/>
          <w:szCs w:val="24"/>
          <w:lang w:val="fr-CI"/>
        </w:rPr>
      </w:pPr>
    </w:p>
    <w:p w:rsidR="007552BE" w:rsidRPr="004254DD" w:rsidRDefault="007552BE" w:rsidP="004254DD">
      <w:pPr>
        <w:pStyle w:val="ListParagraph"/>
        <w:numPr>
          <w:ilvl w:val="0"/>
          <w:numId w:val="11"/>
        </w:numPr>
        <w:spacing w:after="0" w:line="240" w:lineRule="auto"/>
        <w:ind w:left="1276" w:hanging="567"/>
        <w:jc w:val="both"/>
        <w:rPr>
          <w:rFonts w:ascii="Arial" w:hAnsi="Arial" w:cs="Arial"/>
          <w:i/>
          <w:sz w:val="24"/>
          <w:szCs w:val="24"/>
          <w:lang w:val="fr-CI"/>
        </w:rPr>
      </w:pPr>
      <w:r w:rsidRPr="004254DD">
        <w:rPr>
          <w:rFonts w:ascii="Arial" w:hAnsi="Arial" w:cs="Arial"/>
          <w:i/>
          <w:sz w:val="24"/>
          <w:szCs w:val="24"/>
          <w:lang w:val="fr-CI"/>
        </w:rPr>
        <w:t>Le Sommet doit faire appel au monde pour concevoir et travailler avec le continent afin de nouer les partenariats mondiaux pertinents sur la technologie pour la révolution des données.</w:t>
      </w:r>
    </w:p>
    <w:p w:rsidR="004254DD" w:rsidRDefault="004254DD" w:rsidP="004254DD">
      <w:pPr>
        <w:spacing w:after="0" w:line="240" w:lineRule="auto"/>
        <w:ind w:left="1276"/>
        <w:contextualSpacing/>
        <w:jc w:val="both"/>
        <w:rPr>
          <w:rFonts w:ascii="Arial" w:hAnsi="Arial" w:cs="Arial"/>
          <w:i/>
          <w:sz w:val="24"/>
          <w:szCs w:val="24"/>
          <w:lang w:val="fr-CI"/>
        </w:rPr>
      </w:pPr>
    </w:p>
    <w:p w:rsidR="007552BE" w:rsidRPr="004366FD" w:rsidRDefault="007552BE" w:rsidP="004254DD">
      <w:pPr>
        <w:numPr>
          <w:ilvl w:val="0"/>
          <w:numId w:val="11"/>
        </w:numPr>
        <w:spacing w:after="0" w:line="240" w:lineRule="auto"/>
        <w:ind w:left="1276" w:hanging="567"/>
        <w:contextualSpacing/>
        <w:jc w:val="both"/>
        <w:rPr>
          <w:rFonts w:ascii="Arial" w:hAnsi="Arial" w:cs="Arial"/>
          <w:i/>
          <w:sz w:val="24"/>
          <w:szCs w:val="24"/>
          <w:lang w:val="fr-CI"/>
        </w:rPr>
      </w:pPr>
      <w:r w:rsidRPr="004366FD">
        <w:rPr>
          <w:rFonts w:ascii="Arial" w:hAnsi="Arial" w:cs="Arial"/>
          <w:i/>
          <w:sz w:val="24"/>
          <w:szCs w:val="24"/>
          <w:lang w:val="fr-CI"/>
        </w:rPr>
        <w:t xml:space="preserve">Encourager les États membres à prendre l’engagement de verser des contributions en pourcentage afin de financer le développement statistique et à collaborer avec la Communauté </w:t>
      </w:r>
      <w:r w:rsidR="00BF6120">
        <w:rPr>
          <w:rFonts w:ascii="Arial" w:hAnsi="Arial" w:cs="Arial"/>
          <w:i/>
          <w:sz w:val="24"/>
          <w:szCs w:val="24"/>
          <w:lang w:val="fr-CI"/>
        </w:rPr>
        <w:t>i</w:t>
      </w:r>
      <w:r w:rsidRPr="004366FD">
        <w:rPr>
          <w:rFonts w:ascii="Arial" w:hAnsi="Arial" w:cs="Arial"/>
          <w:i/>
          <w:sz w:val="24"/>
          <w:szCs w:val="24"/>
          <w:lang w:val="fr-CI"/>
        </w:rPr>
        <w:t>nternationale sur la même question.</w:t>
      </w:r>
    </w:p>
    <w:p w:rsidR="004254DD" w:rsidRDefault="004254DD" w:rsidP="004254DD">
      <w:pPr>
        <w:spacing w:after="0" w:line="240" w:lineRule="auto"/>
        <w:ind w:left="1276"/>
        <w:contextualSpacing/>
        <w:jc w:val="both"/>
        <w:rPr>
          <w:rFonts w:ascii="Arial" w:hAnsi="Arial" w:cs="Arial"/>
          <w:i/>
          <w:sz w:val="24"/>
          <w:szCs w:val="24"/>
          <w:lang w:val="fr-CI"/>
        </w:rPr>
      </w:pPr>
    </w:p>
    <w:p w:rsidR="007552BE" w:rsidRPr="004366FD" w:rsidRDefault="007552BE" w:rsidP="004254DD">
      <w:pPr>
        <w:numPr>
          <w:ilvl w:val="0"/>
          <w:numId w:val="11"/>
        </w:numPr>
        <w:spacing w:after="0" w:line="240" w:lineRule="auto"/>
        <w:ind w:left="1276" w:hanging="567"/>
        <w:contextualSpacing/>
        <w:jc w:val="both"/>
        <w:rPr>
          <w:rFonts w:ascii="Arial" w:hAnsi="Arial" w:cs="Arial"/>
          <w:i/>
          <w:sz w:val="24"/>
          <w:szCs w:val="24"/>
          <w:lang w:val="fr-CI"/>
        </w:rPr>
      </w:pPr>
      <w:r w:rsidRPr="004366FD">
        <w:rPr>
          <w:rFonts w:ascii="Arial" w:hAnsi="Arial" w:cs="Arial"/>
          <w:i/>
          <w:sz w:val="24"/>
          <w:szCs w:val="24"/>
          <w:lang w:val="fr-CI"/>
        </w:rPr>
        <w:t>Approuver la liste d’indicateurs de base validée comme base de suivi et d’évaluation et s’engager à respecter les délais de présentation des rapports.</w:t>
      </w:r>
    </w:p>
    <w:p w:rsidR="004254DD" w:rsidRDefault="004254DD" w:rsidP="004254DD">
      <w:pPr>
        <w:spacing w:after="0" w:line="240" w:lineRule="auto"/>
        <w:ind w:left="1276"/>
        <w:contextualSpacing/>
        <w:jc w:val="both"/>
        <w:rPr>
          <w:rFonts w:ascii="Arial" w:hAnsi="Arial" w:cs="Arial"/>
          <w:i/>
          <w:sz w:val="24"/>
          <w:szCs w:val="24"/>
          <w:lang w:val="fr-CI"/>
        </w:rPr>
      </w:pPr>
    </w:p>
    <w:p w:rsidR="007552BE" w:rsidRPr="004366FD" w:rsidRDefault="007552BE" w:rsidP="004254DD">
      <w:pPr>
        <w:numPr>
          <w:ilvl w:val="0"/>
          <w:numId w:val="11"/>
        </w:numPr>
        <w:spacing w:after="0" w:line="240" w:lineRule="auto"/>
        <w:ind w:left="1276" w:hanging="567"/>
        <w:contextualSpacing/>
        <w:jc w:val="both"/>
        <w:rPr>
          <w:rFonts w:ascii="Arial" w:hAnsi="Arial" w:cs="Arial"/>
          <w:i/>
          <w:sz w:val="24"/>
          <w:szCs w:val="24"/>
          <w:lang w:val="fr-CI"/>
        </w:rPr>
      </w:pPr>
      <w:r w:rsidRPr="004366FD">
        <w:rPr>
          <w:rFonts w:ascii="Arial" w:hAnsi="Arial" w:cs="Arial"/>
          <w:i/>
          <w:sz w:val="24"/>
          <w:szCs w:val="24"/>
          <w:lang w:val="fr-CI"/>
        </w:rPr>
        <w:t>Les statistiques de l’Agenda 2063 constituent la pierre angulaire de la transformation des économies africaines et un système qui oriente les questions de développement.</w:t>
      </w:r>
    </w:p>
    <w:p w:rsidR="004254DD" w:rsidRDefault="004254DD" w:rsidP="004254DD">
      <w:pPr>
        <w:spacing w:after="0" w:line="240" w:lineRule="auto"/>
        <w:ind w:left="1276"/>
        <w:contextualSpacing/>
        <w:jc w:val="both"/>
        <w:rPr>
          <w:rFonts w:ascii="Arial" w:hAnsi="Arial" w:cs="Arial"/>
          <w:i/>
          <w:sz w:val="24"/>
          <w:szCs w:val="24"/>
          <w:lang w:val="fr-CI"/>
        </w:rPr>
      </w:pPr>
    </w:p>
    <w:p w:rsidR="007552BE" w:rsidRPr="004366FD" w:rsidRDefault="007552BE" w:rsidP="004254DD">
      <w:pPr>
        <w:numPr>
          <w:ilvl w:val="0"/>
          <w:numId w:val="11"/>
        </w:numPr>
        <w:spacing w:after="0" w:line="240" w:lineRule="auto"/>
        <w:ind w:left="1276" w:hanging="567"/>
        <w:contextualSpacing/>
        <w:jc w:val="both"/>
        <w:rPr>
          <w:rFonts w:ascii="Arial" w:hAnsi="Arial" w:cs="Arial"/>
          <w:i/>
          <w:sz w:val="24"/>
          <w:szCs w:val="24"/>
          <w:lang w:val="fr-CI"/>
        </w:rPr>
      </w:pPr>
      <w:r w:rsidRPr="004366FD">
        <w:rPr>
          <w:rFonts w:ascii="Arial" w:hAnsi="Arial" w:cs="Arial"/>
          <w:i/>
          <w:sz w:val="24"/>
          <w:szCs w:val="24"/>
          <w:lang w:val="fr-CI"/>
        </w:rPr>
        <w:t>La Commission est invitée à :</w:t>
      </w:r>
    </w:p>
    <w:p w:rsidR="004254DD" w:rsidRPr="004254DD" w:rsidRDefault="004254DD" w:rsidP="004254DD">
      <w:pPr>
        <w:spacing w:after="0" w:line="240" w:lineRule="auto"/>
        <w:ind w:left="1440"/>
        <w:contextualSpacing/>
        <w:jc w:val="both"/>
        <w:rPr>
          <w:rFonts w:ascii="Arial" w:hAnsi="Arial" w:cs="Arial"/>
          <w:sz w:val="24"/>
          <w:szCs w:val="24"/>
          <w:lang w:val="fr-CI"/>
        </w:rPr>
      </w:pPr>
    </w:p>
    <w:p w:rsidR="007552BE" w:rsidRPr="004366FD" w:rsidRDefault="007552BE" w:rsidP="004254DD">
      <w:pPr>
        <w:numPr>
          <w:ilvl w:val="1"/>
          <w:numId w:val="18"/>
        </w:numPr>
        <w:spacing w:after="0" w:line="240" w:lineRule="auto"/>
        <w:ind w:left="1843" w:hanging="567"/>
        <w:contextualSpacing/>
        <w:jc w:val="both"/>
        <w:rPr>
          <w:rFonts w:ascii="Arial" w:hAnsi="Arial" w:cs="Arial"/>
          <w:sz w:val="24"/>
          <w:szCs w:val="24"/>
          <w:lang w:val="fr-CI"/>
        </w:rPr>
      </w:pPr>
      <w:r w:rsidRPr="004366FD">
        <w:rPr>
          <w:rFonts w:ascii="Arial" w:eastAsia="Calibri" w:hAnsi="Arial" w:cs="Arial"/>
          <w:i/>
          <w:sz w:val="24"/>
          <w:szCs w:val="24"/>
          <w:lang w:val="fr-CI"/>
        </w:rPr>
        <w:t>finaliser</w:t>
      </w:r>
      <w:r w:rsidRPr="004366FD">
        <w:rPr>
          <w:rFonts w:ascii="Arial" w:hAnsi="Arial" w:cs="Arial"/>
          <w:sz w:val="24"/>
          <w:szCs w:val="24"/>
          <w:lang w:val="fr-CI"/>
        </w:rPr>
        <w:t xml:space="preserve"> </w:t>
      </w:r>
      <w:r w:rsidRPr="004366FD">
        <w:rPr>
          <w:rFonts w:ascii="Arial" w:hAnsi="Arial" w:cs="Arial"/>
          <w:i/>
          <w:sz w:val="24"/>
          <w:szCs w:val="24"/>
          <w:lang w:val="fr-CI"/>
        </w:rPr>
        <w:t>le profilage des indicateurs et des métadonnées pour faciliter une interprétation commune et faciliter la compilation ; et</w:t>
      </w:r>
    </w:p>
    <w:p w:rsidR="004254DD" w:rsidRDefault="004254DD" w:rsidP="004254DD">
      <w:pPr>
        <w:spacing w:after="0" w:line="240" w:lineRule="auto"/>
        <w:ind w:left="1843"/>
        <w:contextualSpacing/>
        <w:jc w:val="both"/>
        <w:rPr>
          <w:rFonts w:ascii="Arial" w:hAnsi="Arial" w:cs="Arial"/>
          <w:i/>
          <w:sz w:val="24"/>
          <w:szCs w:val="24"/>
          <w:lang w:val="fr-CI"/>
        </w:rPr>
      </w:pPr>
    </w:p>
    <w:p w:rsidR="007552BE" w:rsidRPr="004366FD" w:rsidRDefault="004254DD" w:rsidP="004254DD">
      <w:pPr>
        <w:numPr>
          <w:ilvl w:val="1"/>
          <w:numId w:val="18"/>
        </w:numPr>
        <w:spacing w:after="0" w:line="240" w:lineRule="auto"/>
        <w:ind w:left="1843" w:hanging="567"/>
        <w:contextualSpacing/>
        <w:jc w:val="both"/>
        <w:rPr>
          <w:rFonts w:ascii="Arial" w:hAnsi="Arial" w:cs="Arial"/>
          <w:i/>
          <w:sz w:val="24"/>
          <w:szCs w:val="24"/>
          <w:lang w:val="fr-CI"/>
        </w:rPr>
      </w:pPr>
      <w:r>
        <w:rPr>
          <w:rFonts w:ascii="Arial" w:hAnsi="Arial" w:cs="Arial"/>
          <w:i/>
          <w:sz w:val="24"/>
          <w:szCs w:val="24"/>
          <w:lang w:val="fr-CI"/>
        </w:rPr>
        <w:lastRenderedPageBreak/>
        <w:t>a</w:t>
      </w:r>
      <w:r w:rsidR="007552BE" w:rsidRPr="004366FD">
        <w:rPr>
          <w:rFonts w:ascii="Arial" w:hAnsi="Arial" w:cs="Arial"/>
          <w:i/>
          <w:sz w:val="24"/>
          <w:szCs w:val="24"/>
          <w:lang w:val="fr-CI"/>
        </w:rPr>
        <w:t>ssurer la clarté et l’adéquation de chacun des indicateurs et s’assurer qu’ils représentent les objectifs de transformation et d’intégration.</w:t>
      </w:r>
    </w:p>
    <w:p w:rsidR="004254DD" w:rsidRPr="004254DD" w:rsidRDefault="004254DD" w:rsidP="004254DD">
      <w:pPr>
        <w:spacing w:after="0" w:line="240" w:lineRule="auto"/>
        <w:ind w:left="1276"/>
        <w:contextualSpacing/>
        <w:jc w:val="both"/>
        <w:rPr>
          <w:rFonts w:ascii="Arial" w:hAnsi="Arial" w:cs="Arial"/>
          <w:sz w:val="24"/>
          <w:szCs w:val="24"/>
          <w:lang w:val="fr-CI"/>
        </w:rPr>
      </w:pPr>
    </w:p>
    <w:p w:rsidR="007552BE" w:rsidRPr="004366FD" w:rsidRDefault="007552BE" w:rsidP="004254DD">
      <w:pPr>
        <w:numPr>
          <w:ilvl w:val="0"/>
          <w:numId w:val="11"/>
        </w:numPr>
        <w:spacing w:after="0" w:line="240" w:lineRule="auto"/>
        <w:ind w:left="1276" w:hanging="567"/>
        <w:contextualSpacing/>
        <w:jc w:val="both"/>
        <w:rPr>
          <w:rFonts w:ascii="Arial" w:hAnsi="Arial" w:cs="Arial"/>
          <w:sz w:val="24"/>
          <w:szCs w:val="24"/>
          <w:lang w:val="fr-CI"/>
        </w:rPr>
      </w:pPr>
      <w:r w:rsidRPr="004366FD">
        <w:rPr>
          <w:rFonts w:ascii="Arial" w:hAnsi="Arial" w:cs="Arial"/>
          <w:i/>
          <w:sz w:val="24"/>
          <w:szCs w:val="24"/>
          <w:lang w:val="fr-CI"/>
        </w:rPr>
        <w:t xml:space="preserve">Le Sommet doit adopter cette liste minimale d’indicateurs pour l’Agenda 2063 en tant qu’indicateurs de base de l’Agenda 2063 et des Objectifs de Développement </w:t>
      </w:r>
      <w:r w:rsidR="00BF6120">
        <w:rPr>
          <w:rFonts w:ascii="Arial" w:hAnsi="Arial" w:cs="Arial"/>
          <w:i/>
          <w:sz w:val="24"/>
          <w:szCs w:val="24"/>
          <w:lang w:val="fr-CI"/>
        </w:rPr>
        <w:t>d</w:t>
      </w:r>
      <w:r w:rsidRPr="004366FD">
        <w:rPr>
          <w:rFonts w:ascii="Arial" w:hAnsi="Arial" w:cs="Arial"/>
          <w:i/>
          <w:sz w:val="24"/>
          <w:szCs w:val="24"/>
          <w:lang w:val="fr-CI"/>
        </w:rPr>
        <w:t>urable à travers lesquels chaque Office National de Statistique compilera et gérera des données statistiques pour faciliter l’élaboration des programmes de Transformation et d’Intégration de l’Afrique tout en abordant la question des capacités techniques et financières.</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26525D">
      <w:pPr>
        <w:pStyle w:val="ListParagraph"/>
        <w:numPr>
          <w:ilvl w:val="1"/>
          <w:numId w:val="26"/>
        </w:numPr>
        <w:spacing w:after="0" w:line="240" w:lineRule="auto"/>
        <w:ind w:left="1418" w:hanging="709"/>
        <w:jc w:val="both"/>
        <w:rPr>
          <w:rFonts w:ascii="Arial" w:eastAsia="Calibri" w:hAnsi="Arial" w:cs="Arial"/>
          <w:b/>
          <w:bCs/>
          <w:sz w:val="24"/>
          <w:szCs w:val="24"/>
          <w:lang w:val="fr-CI"/>
        </w:rPr>
      </w:pPr>
      <w:r w:rsidRPr="004366FD">
        <w:rPr>
          <w:rFonts w:ascii="Arial" w:eastAsia="Calibri" w:hAnsi="Arial" w:cs="Arial"/>
          <w:b/>
          <w:bCs/>
          <w:sz w:val="24"/>
          <w:szCs w:val="24"/>
          <w:lang w:val="fr-CI"/>
        </w:rPr>
        <w:t>Mobilisation des ressources nationales et stratégie de partenariat</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La CUA, en collaboration avec l’Agence du NEPAD, la BAD et la CEA, organise les 12, 13 et 14 décembre 2016 à Johannesburg (Afrique du Sud) la Réunion des experts sur le financement, la mobilisation des ressources intérieures et la stratégie de partenariat de l’Agenda 2063.</w:t>
      </w: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 </w:t>
      </w:r>
    </w:p>
    <w:p w:rsidR="007552BE"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Les objectifs de la Réunion des experts sont les suivants:</w:t>
      </w:r>
    </w:p>
    <w:p w:rsidR="004254DD" w:rsidRPr="004366FD" w:rsidRDefault="004254DD" w:rsidP="00AE2F12">
      <w:pPr>
        <w:spacing w:after="0" w:line="240" w:lineRule="auto"/>
        <w:contextualSpacing/>
        <w:jc w:val="both"/>
        <w:rPr>
          <w:rFonts w:ascii="Arial" w:hAnsi="Arial" w:cs="Arial"/>
          <w:sz w:val="24"/>
          <w:szCs w:val="24"/>
          <w:lang w:val="fr-CI"/>
        </w:rPr>
      </w:pPr>
    </w:p>
    <w:p w:rsidR="007552BE" w:rsidRPr="004366FD" w:rsidRDefault="004254DD" w:rsidP="004254DD">
      <w:pPr>
        <w:numPr>
          <w:ilvl w:val="0"/>
          <w:numId w:val="8"/>
        </w:numPr>
        <w:spacing w:after="0" w:line="240" w:lineRule="auto"/>
        <w:ind w:left="1276" w:hanging="556"/>
        <w:contextualSpacing/>
        <w:jc w:val="both"/>
        <w:rPr>
          <w:rFonts w:ascii="Arial" w:hAnsi="Arial" w:cs="Arial"/>
          <w:sz w:val="24"/>
          <w:szCs w:val="24"/>
          <w:lang w:val="fr-CI"/>
        </w:rPr>
      </w:pPr>
      <w:r>
        <w:rPr>
          <w:rFonts w:ascii="Arial" w:hAnsi="Arial" w:cs="Arial"/>
          <w:bCs/>
          <w:sz w:val="24"/>
          <w:szCs w:val="24"/>
          <w:lang w:val="fr-CI"/>
        </w:rPr>
        <w:t>a</w:t>
      </w:r>
      <w:r w:rsidR="007552BE" w:rsidRPr="004366FD">
        <w:rPr>
          <w:rFonts w:ascii="Arial" w:hAnsi="Arial" w:cs="Arial"/>
          <w:bCs/>
          <w:sz w:val="24"/>
          <w:szCs w:val="24"/>
          <w:lang w:val="fr-CI"/>
        </w:rPr>
        <w:t>méliorer</w:t>
      </w:r>
      <w:r w:rsidR="007552BE" w:rsidRPr="004366FD">
        <w:rPr>
          <w:rFonts w:ascii="Arial" w:hAnsi="Arial" w:cs="Arial"/>
          <w:sz w:val="24"/>
          <w:szCs w:val="24"/>
          <w:lang w:val="fr-CI"/>
        </w:rPr>
        <w:t xml:space="preserve"> le projet de stratégie de financement et de mobilisation de ressources nationales de l’Agenda 2063 ;</w:t>
      </w:r>
    </w:p>
    <w:p w:rsidR="004254DD" w:rsidRDefault="004254DD" w:rsidP="004254DD">
      <w:pPr>
        <w:spacing w:after="0" w:line="240" w:lineRule="auto"/>
        <w:ind w:left="1276"/>
        <w:contextualSpacing/>
        <w:jc w:val="both"/>
        <w:rPr>
          <w:rFonts w:ascii="Arial" w:hAnsi="Arial" w:cs="Arial"/>
          <w:bCs/>
          <w:sz w:val="24"/>
          <w:szCs w:val="24"/>
          <w:lang w:val="fr-CI"/>
        </w:rPr>
      </w:pPr>
    </w:p>
    <w:p w:rsidR="007552BE" w:rsidRPr="004366FD" w:rsidRDefault="004254DD" w:rsidP="004254DD">
      <w:pPr>
        <w:numPr>
          <w:ilvl w:val="0"/>
          <w:numId w:val="8"/>
        </w:numPr>
        <w:spacing w:after="0" w:line="240" w:lineRule="auto"/>
        <w:ind w:left="1276" w:hanging="556"/>
        <w:contextualSpacing/>
        <w:jc w:val="both"/>
        <w:rPr>
          <w:rFonts w:ascii="Arial" w:hAnsi="Arial" w:cs="Arial"/>
          <w:bCs/>
          <w:sz w:val="24"/>
          <w:szCs w:val="24"/>
          <w:lang w:val="fr-CI"/>
        </w:rPr>
      </w:pPr>
      <w:r>
        <w:rPr>
          <w:rFonts w:ascii="Arial" w:hAnsi="Arial" w:cs="Arial"/>
          <w:bCs/>
          <w:sz w:val="24"/>
          <w:szCs w:val="24"/>
          <w:lang w:val="fr-CI"/>
        </w:rPr>
        <w:t>e</w:t>
      </w:r>
      <w:r w:rsidR="007552BE" w:rsidRPr="004366FD">
        <w:rPr>
          <w:rFonts w:ascii="Arial" w:hAnsi="Arial" w:cs="Arial"/>
          <w:bCs/>
          <w:sz w:val="24"/>
          <w:szCs w:val="24"/>
          <w:lang w:val="fr-CI"/>
        </w:rPr>
        <w:t xml:space="preserve">nregistrer les meilleures pratiques et les innovations en matière de </w:t>
      </w:r>
      <w:r w:rsidR="007552BE" w:rsidRPr="004254DD">
        <w:rPr>
          <w:rFonts w:ascii="Arial" w:hAnsi="Arial" w:cs="Arial"/>
          <w:sz w:val="24"/>
          <w:szCs w:val="24"/>
          <w:lang w:val="fr-CI"/>
        </w:rPr>
        <w:t>mobilisation</w:t>
      </w:r>
      <w:r w:rsidR="007552BE" w:rsidRPr="004366FD">
        <w:rPr>
          <w:rFonts w:ascii="Arial" w:hAnsi="Arial" w:cs="Arial"/>
          <w:bCs/>
          <w:sz w:val="24"/>
          <w:szCs w:val="24"/>
          <w:lang w:val="fr-CI"/>
        </w:rPr>
        <w:t xml:space="preserve"> des ressources nationales (MRN) ;</w:t>
      </w:r>
    </w:p>
    <w:p w:rsidR="004254DD" w:rsidRDefault="004254DD" w:rsidP="004254DD">
      <w:pPr>
        <w:spacing w:after="0" w:line="240" w:lineRule="auto"/>
        <w:ind w:left="1276"/>
        <w:contextualSpacing/>
        <w:jc w:val="both"/>
        <w:rPr>
          <w:rFonts w:ascii="Arial" w:hAnsi="Arial" w:cs="Arial"/>
          <w:bCs/>
          <w:sz w:val="24"/>
          <w:szCs w:val="24"/>
          <w:lang w:val="fr-CI"/>
        </w:rPr>
      </w:pPr>
    </w:p>
    <w:p w:rsidR="007552BE" w:rsidRPr="004366FD" w:rsidRDefault="004254DD" w:rsidP="004254DD">
      <w:pPr>
        <w:numPr>
          <w:ilvl w:val="0"/>
          <w:numId w:val="8"/>
        </w:numPr>
        <w:spacing w:after="0" w:line="240" w:lineRule="auto"/>
        <w:ind w:left="1276" w:hanging="556"/>
        <w:contextualSpacing/>
        <w:jc w:val="both"/>
        <w:rPr>
          <w:rFonts w:ascii="Arial" w:hAnsi="Arial" w:cs="Arial"/>
          <w:bCs/>
          <w:sz w:val="24"/>
          <w:szCs w:val="24"/>
          <w:lang w:val="fr-CI"/>
        </w:rPr>
      </w:pPr>
      <w:r>
        <w:rPr>
          <w:rFonts w:ascii="Arial" w:hAnsi="Arial" w:cs="Arial"/>
          <w:bCs/>
          <w:sz w:val="24"/>
          <w:szCs w:val="24"/>
          <w:lang w:val="fr-CI"/>
        </w:rPr>
        <w:t>f</w:t>
      </w:r>
      <w:r w:rsidR="007552BE" w:rsidRPr="004366FD">
        <w:rPr>
          <w:rFonts w:ascii="Arial" w:hAnsi="Arial" w:cs="Arial"/>
          <w:bCs/>
          <w:sz w:val="24"/>
          <w:szCs w:val="24"/>
          <w:lang w:val="fr-CI"/>
        </w:rPr>
        <w:t xml:space="preserve">ournir des avis d’experts sur le financement des projets phares de </w:t>
      </w:r>
      <w:r w:rsidR="007552BE" w:rsidRPr="004254DD">
        <w:rPr>
          <w:rFonts w:ascii="Arial" w:hAnsi="Arial" w:cs="Arial"/>
          <w:sz w:val="24"/>
          <w:szCs w:val="24"/>
          <w:lang w:val="fr-CI"/>
        </w:rPr>
        <w:t>l’Agenda</w:t>
      </w:r>
      <w:r w:rsidR="007552BE" w:rsidRPr="004366FD">
        <w:rPr>
          <w:rFonts w:ascii="Arial" w:hAnsi="Arial" w:cs="Arial"/>
          <w:bCs/>
          <w:sz w:val="24"/>
          <w:szCs w:val="24"/>
          <w:lang w:val="fr-CI"/>
        </w:rPr>
        <w:t xml:space="preserve"> 2063 ;</w:t>
      </w:r>
    </w:p>
    <w:p w:rsidR="004254DD" w:rsidRPr="004254DD" w:rsidRDefault="004254DD" w:rsidP="004254DD">
      <w:pPr>
        <w:spacing w:after="0" w:line="240" w:lineRule="auto"/>
        <w:ind w:left="1276"/>
        <w:contextualSpacing/>
        <w:jc w:val="both"/>
        <w:rPr>
          <w:rFonts w:ascii="Arial" w:hAnsi="Arial" w:cs="Arial"/>
          <w:bCs/>
          <w:sz w:val="24"/>
          <w:szCs w:val="24"/>
          <w:lang w:val="fr-CI"/>
        </w:rPr>
      </w:pPr>
    </w:p>
    <w:p w:rsidR="007552BE" w:rsidRPr="004366FD" w:rsidRDefault="004254DD" w:rsidP="004254DD">
      <w:pPr>
        <w:numPr>
          <w:ilvl w:val="0"/>
          <w:numId w:val="8"/>
        </w:numPr>
        <w:spacing w:after="0" w:line="240" w:lineRule="auto"/>
        <w:ind w:left="1276" w:hanging="556"/>
        <w:contextualSpacing/>
        <w:jc w:val="both"/>
        <w:rPr>
          <w:rFonts w:ascii="Arial" w:hAnsi="Arial" w:cs="Arial"/>
          <w:bCs/>
          <w:sz w:val="24"/>
          <w:szCs w:val="24"/>
          <w:lang w:val="fr-CI"/>
        </w:rPr>
      </w:pPr>
      <w:r>
        <w:rPr>
          <w:rFonts w:ascii="Arial" w:hAnsi="Arial" w:cs="Arial"/>
          <w:sz w:val="24"/>
          <w:szCs w:val="24"/>
          <w:lang w:val="fr-CI"/>
        </w:rPr>
        <w:t>f</w:t>
      </w:r>
      <w:r w:rsidR="007552BE" w:rsidRPr="004366FD">
        <w:rPr>
          <w:rFonts w:ascii="Arial" w:hAnsi="Arial" w:cs="Arial"/>
          <w:sz w:val="24"/>
          <w:szCs w:val="24"/>
          <w:lang w:val="fr-CI"/>
        </w:rPr>
        <w:t>ournir des conseils d’experts sur la création d’institutions financières continentales et de fonds continentaux ;</w:t>
      </w:r>
    </w:p>
    <w:p w:rsidR="004254DD" w:rsidRDefault="004254DD" w:rsidP="004254DD">
      <w:pPr>
        <w:spacing w:after="0" w:line="240" w:lineRule="auto"/>
        <w:ind w:left="1276"/>
        <w:contextualSpacing/>
        <w:jc w:val="both"/>
        <w:rPr>
          <w:rFonts w:ascii="Arial" w:hAnsi="Arial" w:cs="Arial"/>
          <w:sz w:val="24"/>
          <w:szCs w:val="24"/>
          <w:lang w:val="fr-CI"/>
        </w:rPr>
      </w:pPr>
    </w:p>
    <w:p w:rsidR="007552BE" w:rsidRPr="004366FD" w:rsidRDefault="004254DD" w:rsidP="004254DD">
      <w:pPr>
        <w:numPr>
          <w:ilvl w:val="0"/>
          <w:numId w:val="8"/>
        </w:numPr>
        <w:spacing w:after="0" w:line="240" w:lineRule="auto"/>
        <w:ind w:left="1276" w:hanging="556"/>
        <w:contextualSpacing/>
        <w:jc w:val="both"/>
        <w:rPr>
          <w:rFonts w:ascii="Arial" w:hAnsi="Arial" w:cs="Arial"/>
          <w:sz w:val="24"/>
          <w:szCs w:val="24"/>
          <w:lang w:val="fr-CI"/>
        </w:rPr>
      </w:pPr>
      <w:r>
        <w:rPr>
          <w:rFonts w:ascii="Arial" w:hAnsi="Arial" w:cs="Arial"/>
          <w:sz w:val="24"/>
          <w:szCs w:val="24"/>
          <w:lang w:val="fr-CI"/>
        </w:rPr>
        <w:t>f</w:t>
      </w:r>
      <w:r w:rsidR="007552BE" w:rsidRPr="004366FD">
        <w:rPr>
          <w:rFonts w:ascii="Arial" w:hAnsi="Arial" w:cs="Arial"/>
          <w:sz w:val="24"/>
          <w:szCs w:val="24"/>
          <w:lang w:val="fr-CI"/>
        </w:rPr>
        <w:t>aire des suggestions sur le financement des programmes de transformation socio-économique de l’Afrique intégrés à l’Agenda 2063.</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b/>
          <w:sz w:val="24"/>
          <w:szCs w:val="24"/>
          <w:lang w:val="fr-CI"/>
        </w:rPr>
      </w:pPr>
      <w:r w:rsidRPr="004366FD">
        <w:rPr>
          <w:rFonts w:ascii="Arial" w:hAnsi="Arial" w:cs="Arial"/>
          <w:b/>
          <w:sz w:val="24"/>
          <w:szCs w:val="24"/>
          <w:lang w:val="fr-CI"/>
        </w:rPr>
        <w:t>Les organes délibérants sont invités à prendre note des progrès accomplis et à recommander ce qui suit :</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254DD" w:rsidRDefault="007552BE" w:rsidP="004254DD">
      <w:pPr>
        <w:pStyle w:val="ListParagraph"/>
        <w:numPr>
          <w:ilvl w:val="0"/>
          <w:numId w:val="34"/>
        </w:numPr>
        <w:spacing w:after="0" w:line="240" w:lineRule="auto"/>
        <w:ind w:left="1276" w:hanging="556"/>
        <w:jc w:val="both"/>
        <w:rPr>
          <w:rFonts w:ascii="Arial" w:eastAsia="Calibri" w:hAnsi="Arial" w:cs="Arial"/>
          <w:bCs/>
          <w:i/>
          <w:sz w:val="24"/>
          <w:szCs w:val="24"/>
          <w:lang w:val="fr-CI"/>
        </w:rPr>
      </w:pPr>
      <w:r w:rsidRPr="004254DD">
        <w:rPr>
          <w:rFonts w:ascii="Arial" w:eastAsia="Calibri" w:hAnsi="Arial" w:cs="Arial"/>
          <w:bCs/>
          <w:i/>
          <w:sz w:val="24"/>
          <w:szCs w:val="24"/>
          <w:lang w:val="fr-CI"/>
        </w:rPr>
        <w:t>Inviter la Commission et ses partenaires (Agence du NEPAD, BAD, CEA et autres) à travailler en étroite collaboration avec les institutions pertinentes des États membres afin de finaliser et de soumettre le projet de stratégie de mobilisation des ressources et de partenariat pour adoption par les organes délibérants de l’UA.</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26525D">
      <w:pPr>
        <w:pStyle w:val="ListParagraph"/>
        <w:numPr>
          <w:ilvl w:val="1"/>
          <w:numId w:val="26"/>
        </w:numPr>
        <w:spacing w:after="0" w:line="240" w:lineRule="auto"/>
        <w:ind w:left="1418" w:hanging="709"/>
        <w:jc w:val="both"/>
        <w:rPr>
          <w:rFonts w:ascii="Arial" w:eastAsia="Calibri" w:hAnsi="Arial" w:cs="Arial"/>
          <w:b/>
          <w:bCs/>
          <w:sz w:val="24"/>
          <w:szCs w:val="24"/>
          <w:lang w:val="fr-CI"/>
        </w:rPr>
      </w:pPr>
      <w:r w:rsidRPr="004366FD">
        <w:rPr>
          <w:rFonts w:ascii="Arial" w:eastAsia="Calibri" w:hAnsi="Arial" w:cs="Arial"/>
          <w:b/>
          <w:bCs/>
          <w:sz w:val="24"/>
          <w:szCs w:val="24"/>
          <w:lang w:val="fr-CI"/>
        </w:rPr>
        <w:t>Sensibilisation et vulgarisation</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 xml:space="preserve">La Commission a continué de sensibiliser le public à l’Agenda 2063, principalement par le biais de ses missions d’internalisation auprès des États membres. La publication professionnelle des documents clés de l’Agenda 2063, à savoir : le document-cadre, </w:t>
      </w:r>
      <w:r w:rsidRPr="004366FD">
        <w:rPr>
          <w:rFonts w:ascii="Arial" w:hAnsi="Arial" w:cs="Arial"/>
          <w:sz w:val="24"/>
          <w:szCs w:val="24"/>
          <w:lang w:val="fr-CI"/>
        </w:rPr>
        <w:lastRenderedPageBreak/>
        <w:t>la version populaire et le premier Plan décennal de mise en œuvre, ainsi que les dossiers d’information sur l’Agenda 2063 ont été acquises et font l’objet d’une large distribution auprès des États membres et des autres parties prenantes.</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Récemment, un partenariat avec le Forum des éditeurs africains a également été mis en place afin de renforcer le rôle de la presse écrite dans la sensibilisation sur l’Agenda 2063.</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Toutefois, il demeure un écart important en ce qui concerne la sensibilisation au niveau communautaire alors que de nombreux citoyens africains ordinaires continuent de recevoir des informations adéquates sur l’Agenda 2063. Il s’agit d’un écart important qui limite la capacité des communautés de base à s’approprier l’Agenda 2063 et à l’intégrer dans les activités de développement local, et celle du grand public des États membres à participer aux processus nationaux d’internalisation, notamment les acteurs clés tels que le secteur privé. À cet égard, la Commission a engagé une collaboration avec des organisations de la société civile de l’ensemble du continent, par l’intermédiaire de leurs organes faîtiers, pour concevoir des programmes qui fassent partie de leurs programmes d’éducation civique respectifs. Des consultations régulières se poursuivront au sein de l’ECOSSOC et du Groupe de travail sur les OSC en Afrique. Le secteur de la création africaine est une autre voie que la Commission a ciblée pour accroître la portée de la sensibilisation par le biais de films et de représentations dramatiques radiophoniques. Cette initiative est poursuivie en partenariat avec la Fédération panafricaine des cinéastes (FEPACI)</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Default="007552BE" w:rsidP="00AE2F12">
      <w:pPr>
        <w:spacing w:after="0" w:line="240" w:lineRule="auto"/>
        <w:contextualSpacing/>
        <w:jc w:val="both"/>
        <w:rPr>
          <w:rFonts w:ascii="Arial" w:hAnsi="Arial" w:cs="Arial"/>
          <w:b/>
          <w:i/>
          <w:sz w:val="24"/>
          <w:szCs w:val="24"/>
          <w:lang w:val="fr-CI"/>
        </w:rPr>
      </w:pPr>
      <w:r w:rsidRPr="004366FD">
        <w:rPr>
          <w:rFonts w:ascii="Arial" w:hAnsi="Arial" w:cs="Arial"/>
          <w:sz w:val="24"/>
          <w:szCs w:val="24"/>
          <w:lang w:val="fr-CI"/>
        </w:rPr>
        <w:t xml:space="preserve">Au vu de ce qui précède, </w:t>
      </w:r>
      <w:r w:rsidRPr="004366FD">
        <w:rPr>
          <w:rFonts w:ascii="Arial" w:hAnsi="Arial" w:cs="Arial"/>
          <w:b/>
          <w:i/>
          <w:sz w:val="24"/>
          <w:szCs w:val="24"/>
          <w:lang w:val="fr-CI"/>
        </w:rPr>
        <w:t>les organes délibérants sont invités à examiner et à adopter les mesures/recommandations suivantes :</w:t>
      </w:r>
    </w:p>
    <w:p w:rsidR="004254DD" w:rsidRPr="004366FD" w:rsidRDefault="004254DD" w:rsidP="00AE2F12">
      <w:pPr>
        <w:spacing w:after="0" w:line="240" w:lineRule="auto"/>
        <w:contextualSpacing/>
        <w:jc w:val="both"/>
        <w:rPr>
          <w:rFonts w:ascii="Arial" w:hAnsi="Arial" w:cs="Arial"/>
          <w:sz w:val="24"/>
          <w:szCs w:val="24"/>
          <w:lang w:val="fr-CI"/>
        </w:rPr>
      </w:pPr>
    </w:p>
    <w:p w:rsidR="007552BE" w:rsidRPr="004254DD" w:rsidRDefault="006628F0" w:rsidP="004254DD">
      <w:pPr>
        <w:pStyle w:val="ListParagraph"/>
        <w:numPr>
          <w:ilvl w:val="0"/>
          <w:numId w:val="35"/>
        </w:numPr>
        <w:spacing w:after="0" w:line="240" w:lineRule="auto"/>
        <w:ind w:left="1276" w:hanging="556"/>
        <w:jc w:val="both"/>
        <w:rPr>
          <w:rFonts w:ascii="Arial" w:eastAsia="Calibri" w:hAnsi="Arial" w:cs="Arial"/>
          <w:bCs/>
          <w:i/>
          <w:sz w:val="24"/>
          <w:szCs w:val="24"/>
          <w:lang w:val="fr-CI"/>
        </w:rPr>
      </w:pPr>
      <w:r>
        <w:rPr>
          <w:rFonts w:ascii="Arial" w:eastAsia="Calibri" w:hAnsi="Arial" w:cs="Arial"/>
          <w:bCs/>
          <w:i/>
          <w:sz w:val="24"/>
          <w:szCs w:val="24"/>
          <w:lang w:val="fr-CI"/>
        </w:rPr>
        <w:t>i</w:t>
      </w:r>
      <w:r w:rsidR="007552BE" w:rsidRPr="004254DD">
        <w:rPr>
          <w:rFonts w:ascii="Arial" w:eastAsia="Calibri" w:hAnsi="Arial" w:cs="Arial"/>
          <w:bCs/>
          <w:i/>
          <w:sz w:val="24"/>
          <w:szCs w:val="24"/>
          <w:lang w:val="fr-CI"/>
        </w:rPr>
        <w:t>nviter la Commission et ses partenaires à redoubler d’efforts pour :</w:t>
      </w:r>
    </w:p>
    <w:p w:rsidR="004254DD" w:rsidRDefault="004254DD" w:rsidP="004254DD">
      <w:pPr>
        <w:spacing w:after="0" w:line="240" w:lineRule="auto"/>
        <w:ind w:left="1440"/>
        <w:contextualSpacing/>
        <w:jc w:val="both"/>
        <w:rPr>
          <w:rFonts w:ascii="Arial" w:hAnsi="Arial" w:cs="Arial"/>
          <w:i/>
          <w:sz w:val="24"/>
          <w:szCs w:val="24"/>
          <w:lang w:val="fr-CI"/>
        </w:rPr>
      </w:pPr>
    </w:p>
    <w:p w:rsidR="007552BE" w:rsidRPr="004366FD" w:rsidRDefault="007552BE" w:rsidP="006628F0">
      <w:pPr>
        <w:numPr>
          <w:ilvl w:val="1"/>
          <w:numId w:val="18"/>
        </w:numPr>
        <w:spacing w:after="0" w:line="240" w:lineRule="auto"/>
        <w:ind w:left="1843" w:hanging="567"/>
        <w:contextualSpacing/>
        <w:jc w:val="both"/>
        <w:rPr>
          <w:rFonts w:ascii="Arial" w:hAnsi="Arial" w:cs="Arial"/>
          <w:i/>
          <w:sz w:val="24"/>
          <w:szCs w:val="24"/>
          <w:lang w:val="fr-CI"/>
        </w:rPr>
      </w:pPr>
      <w:r w:rsidRPr="004366FD">
        <w:rPr>
          <w:rFonts w:ascii="Arial" w:hAnsi="Arial" w:cs="Arial"/>
          <w:i/>
          <w:sz w:val="24"/>
          <w:szCs w:val="24"/>
          <w:lang w:val="fr-CI"/>
        </w:rPr>
        <w:t xml:space="preserve">développer des </w:t>
      </w:r>
      <w:r w:rsidRPr="004366FD">
        <w:rPr>
          <w:rFonts w:ascii="Arial" w:eastAsia="Calibri" w:hAnsi="Arial" w:cs="Arial"/>
          <w:bCs/>
          <w:i/>
          <w:sz w:val="24"/>
          <w:szCs w:val="24"/>
          <w:lang w:val="fr-CI"/>
        </w:rPr>
        <w:t>produits</w:t>
      </w:r>
      <w:r w:rsidRPr="004366FD">
        <w:rPr>
          <w:rFonts w:ascii="Arial" w:hAnsi="Arial" w:cs="Arial"/>
          <w:i/>
          <w:sz w:val="24"/>
          <w:szCs w:val="24"/>
          <w:lang w:val="fr-CI"/>
        </w:rPr>
        <w:t xml:space="preserve"> de communication simples et conviviaux pour faciliter la compréhension et l’appropriation de l’Agenda 2063 par les citoyens ordinaires, su</w:t>
      </w:r>
      <w:r w:rsidR="004254DD">
        <w:rPr>
          <w:rFonts w:ascii="Arial" w:hAnsi="Arial" w:cs="Arial"/>
          <w:i/>
          <w:sz w:val="24"/>
          <w:szCs w:val="24"/>
          <w:lang w:val="fr-CI"/>
        </w:rPr>
        <w:t>rtout au niveau des communautés ;</w:t>
      </w:r>
    </w:p>
    <w:p w:rsidR="004254DD" w:rsidRPr="004254DD" w:rsidRDefault="004254DD" w:rsidP="006628F0">
      <w:pPr>
        <w:spacing w:after="0" w:line="240" w:lineRule="auto"/>
        <w:ind w:left="1843" w:hanging="567"/>
        <w:contextualSpacing/>
        <w:jc w:val="both"/>
        <w:rPr>
          <w:rFonts w:ascii="Arial" w:hAnsi="Arial" w:cs="Arial"/>
          <w:i/>
          <w:sz w:val="24"/>
          <w:szCs w:val="24"/>
          <w:lang w:val="fr-CI"/>
        </w:rPr>
      </w:pPr>
    </w:p>
    <w:p w:rsidR="007552BE" w:rsidRDefault="004254DD" w:rsidP="006628F0">
      <w:pPr>
        <w:numPr>
          <w:ilvl w:val="1"/>
          <w:numId w:val="18"/>
        </w:numPr>
        <w:spacing w:after="0" w:line="240" w:lineRule="auto"/>
        <w:ind w:left="1843" w:hanging="567"/>
        <w:contextualSpacing/>
        <w:jc w:val="both"/>
        <w:rPr>
          <w:rFonts w:ascii="Arial" w:hAnsi="Arial" w:cs="Arial"/>
          <w:i/>
          <w:sz w:val="24"/>
          <w:szCs w:val="24"/>
          <w:lang w:val="fr-CI"/>
        </w:rPr>
      </w:pPr>
      <w:r>
        <w:rPr>
          <w:rFonts w:ascii="Arial" w:eastAsia="Calibri" w:hAnsi="Arial" w:cs="Arial"/>
          <w:bCs/>
          <w:i/>
          <w:sz w:val="24"/>
          <w:szCs w:val="24"/>
          <w:lang w:val="fr-CI"/>
        </w:rPr>
        <w:t>c</w:t>
      </w:r>
      <w:r w:rsidR="007552BE" w:rsidRPr="004366FD">
        <w:rPr>
          <w:rFonts w:ascii="Arial" w:eastAsia="Calibri" w:hAnsi="Arial" w:cs="Arial"/>
          <w:bCs/>
          <w:i/>
          <w:sz w:val="24"/>
          <w:szCs w:val="24"/>
          <w:lang w:val="fr-CI"/>
        </w:rPr>
        <w:t>ollaborer</w:t>
      </w:r>
      <w:r w:rsidR="007552BE" w:rsidRPr="004366FD">
        <w:rPr>
          <w:rFonts w:ascii="Arial" w:hAnsi="Arial" w:cs="Arial"/>
          <w:i/>
          <w:sz w:val="24"/>
          <w:szCs w:val="24"/>
          <w:lang w:val="fr-CI"/>
        </w:rPr>
        <w:t xml:space="preserve"> avec l’ACALAN pour traduire, imprimer et diffuser la version populaire dans les principales langues africaines, en particulier les langues transfrontalières en Afrique de l’Ouest, de l’Est, du Centre et en Afrique australe</w:t>
      </w:r>
      <w:r>
        <w:rPr>
          <w:rFonts w:ascii="Arial" w:hAnsi="Arial" w:cs="Arial"/>
          <w:i/>
          <w:sz w:val="24"/>
          <w:szCs w:val="24"/>
          <w:lang w:val="fr-CI"/>
        </w:rPr>
        <w:t>.</w:t>
      </w:r>
    </w:p>
    <w:p w:rsidR="004254DD" w:rsidRPr="004366FD" w:rsidRDefault="004254DD" w:rsidP="004254DD">
      <w:pPr>
        <w:spacing w:after="0" w:line="240" w:lineRule="auto"/>
        <w:ind w:left="1440"/>
        <w:contextualSpacing/>
        <w:jc w:val="both"/>
        <w:rPr>
          <w:rFonts w:ascii="Arial" w:hAnsi="Arial" w:cs="Arial"/>
          <w:i/>
          <w:sz w:val="24"/>
          <w:szCs w:val="24"/>
          <w:lang w:val="fr-CI"/>
        </w:rPr>
      </w:pPr>
    </w:p>
    <w:p w:rsidR="007552BE" w:rsidRPr="004366FD" w:rsidRDefault="006628F0" w:rsidP="004254DD">
      <w:pPr>
        <w:pStyle w:val="ListParagraph"/>
        <w:numPr>
          <w:ilvl w:val="0"/>
          <w:numId w:val="35"/>
        </w:numPr>
        <w:spacing w:after="0" w:line="240" w:lineRule="auto"/>
        <w:ind w:left="1276" w:hanging="556"/>
        <w:jc w:val="both"/>
        <w:rPr>
          <w:rFonts w:ascii="Arial" w:eastAsia="Calibri" w:hAnsi="Arial" w:cs="Arial"/>
          <w:bCs/>
          <w:i/>
          <w:sz w:val="24"/>
          <w:szCs w:val="24"/>
          <w:lang w:val="fr-CI"/>
        </w:rPr>
      </w:pPr>
      <w:r>
        <w:rPr>
          <w:rFonts w:ascii="Arial" w:eastAsia="Calibri" w:hAnsi="Arial" w:cs="Arial"/>
          <w:bCs/>
          <w:i/>
          <w:sz w:val="24"/>
          <w:szCs w:val="24"/>
          <w:lang w:val="fr-CI"/>
        </w:rPr>
        <w:t>i</w:t>
      </w:r>
      <w:r w:rsidR="007552BE" w:rsidRPr="004366FD">
        <w:rPr>
          <w:rFonts w:ascii="Arial" w:eastAsia="Calibri" w:hAnsi="Arial" w:cs="Arial"/>
          <w:bCs/>
          <w:i/>
          <w:sz w:val="24"/>
          <w:szCs w:val="24"/>
          <w:lang w:val="fr-CI"/>
        </w:rPr>
        <w:t>nviter les États membres à mettre en place des mesures visant à vulgariser l’Agenda 2063, à travers les médias d’État (TV, Radio, Presse) et autres actions, et à encourager les ministères de l’Information et de la Communication à travailler avec les opérateurs de communication GSM pour diffuser des</w:t>
      </w:r>
      <w:r>
        <w:rPr>
          <w:rFonts w:ascii="Arial" w:eastAsia="Calibri" w:hAnsi="Arial" w:cs="Arial"/>
          <w:bCs/>
          <w:i/>
          <w:sz w:val="24"/>
          <w:szCs w:val="24"/>
          <w:lang w:val="fr-CI"/>
        </w:rPr>
        <w:t xml:space="preserve"> informations sur l’Agenda 2063 ;</w:t>
      </w:r>
    </w:p>
    <w:p w:rsidR="004254DD" w:rsidRDefault="004254DD" w:rsidP="004254DD">
      <w:pPr>
        <w:pStyle w:val="ListParagraph"/>
        <w:spacing w:after="0" w:line="240" w:lineRule="auto"/>
        <w:ind w:left="1276"/>
        <w:jc w:val="both"/>
        <w:rPr>
          <w:rFonts w:ascii="Arial" w:eastAsia="Calibri" w:hAnsi="Arial" w:cs="Arial"/>
          <w:bCs/>
          <w:i/>
          <w:sz w:val="24"/>
          <w:szCs w:val="24"/>
          <w:lang w:val="fr-CI"/>
        </w:rPr>
      </w:pPr>
    </w:p>
    <w:p w:rsidR="007552BE" w:rsidRPr="004366FD" w:rsidRDefault="006628F0" w:rsidP="004254DD">
      <w:pPr>
        <w:pStyle w:val="ListParagraph"/>
        <w:numPr>
          <w:ilvl w:val="0"/>
          <w:numId w:val="35"/>
        </w:numPr>
        <w:spacing w:after="0" w:line="240" w:lineRule="auto"/>
        <w:ind w:left="1276" w:hanging="556"/>
        <w:jc w:val="both"/>
        <w:rPr>
          <w:rFonts w:ascii="Arial" w:eastAsia="Calibri" w:hAnsi="Arial" w:cs="Arial"/>
          <w:bCs/>
          <w:i/>
          <w:sz w:val="24"/>
          <w:szCs w:val="24"/>
          <w:lang w:val="fr-CI"/>
        </w:rPr>
      </w:pPr>
      <w:r>
        <w:rPr>
          <w:rFonts w:ascii="Arial" w:eastAsia="Calibri" w:hAnsi="Arial" w:cs="Arial"/>
          <w:bCs/>
          <w:i/>
          <w:sz w:val="24"/>
          <w:szCs w:val="24"/>
          <w:lang w:val="fr-CI"/>
        </w:rPr>
        <w:t>i</w:t>
      </w:r>
      <w:r w:rsidR="007552BE" w:rsidRPr="004366FD">
        <w:rPr>
          <w:rFonts w:ascii="Arial" w:eastAsia="Calibri" w:hAnsi="Arial" w:cs="Arial"/>
          <w:bCs/>
          <w:i/>
          <w:sz w:val="24"/>
          <w:szCs w:val="24"/>
          <w:lang w:val="fr-CI"/>
        </w:rPr>
        <w:t>nviter l’ECOSSOC, en collaboration avec la CUA, à mobiliser la société civile et la diaspora afin de renforcer la sensibilisation à l’Agenda 2063 au niveau de la société civile et de la diaspora.</w:t>
      </w:r>
    </w:p>
    <w:p w:rsidR="007552BE" w:rsidRDefault="007552BE" w:rsidP="00AE2F12">
      <w:pPr>
        <w:spacing w:after="0" w:line="240" w:lineRule="auto"/>
        <w:contextualSpacing/>
        <w:jc w:val="both"/>
        <w:rPr>
          <w:rFonts w:ascii="Arial" w:hAnsi="Arial" w:cs="Arial"/>
          <w:sz w:val="24"/>
          <w:szCs w:val="24"/>
          <w:lang w:val="fr-CI"/>
        </w:rPr>
      </w:pPr>
    </w:p>
    <w:p w:rsidR="006628F0" w:rsidRPr="004366FD" w:rsidRDefault="006628F0" w:rsidP="00AE2F12">
      <w:pPr>
        <w:spacing w:after="0" w:line="240" w:lineRule="auto"/>
        <w:contextualSpacing/>
        <w:jc w:val="both"/>
        <w:rPr>
          <w:rFonts w:ascii="Arial" w:hAnsi="Arial" w:cs="Arial"/>
          <w:sz w:val="24"/>
          <w:szCs w:val="24"/>
          <w:lang w:val="fr-CI"/>
        </w:rPr>
      </w:pPr>
    </w:p>
    <w:p w:rsidR="007552BE" w:rsidRPr="004366FD" w:rsidRDefault="007552BE" w:rsidP="0026525D">
      <w:pPr>
        <w:pStyle w:val="ListParagraph"/>
        <w:numPr>
          <w:ilvl w:val="1"/>
          <w:numId w:val="26"/>
        </w:numPr>
        <w:spacing w:after="0" w:line="240" w:lineRule="auto"/>
        <w:ind w:left="1418" w:hanging="709"/>
        <w:jc w:val="both"/>
        <w:rPr>
          <w:rFonts w:ascii="Arial" w:eastAsia="Calibri" w:hAnsi="Arial" w:cs="Arial"/>
          <w:b/>
          <w:bCs/>
          <w:sz w:val="24"/>
          <w:szCs w:val="24"/>
          <w:lang w:val="fr-CI"/>
        </w:rPr>
      </w:pPr>
      <w:r w:rsidRPr="004366FD">
        <w:rPr>
          <w:rFonts w:ascii="Arial" w:eastAsia="Calibri" w:hAnsi="Arial" w:cs="Arial"/>
          <w:b/>
          <w:bCs/>
          <w:sz w:val="24"/>
          <w:szCs w:val="24"/>
          <w:lang w:val="fr-CI"/>
        </w:rPr>
        <w:lastRenderedPageBreak/>
        <w:t>Élaboration d’un nouveau Plan de la Commission de l’UA pour succéder au Plan stratégique 2014-2017</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Le Plan stratégique 2014-2017 de la CUA tire à sa fin et un plan subséquent est nécessaire pour orienter les travaux de la Commission au cours des prochaines années. Le nouveau plan doit toutefois être élaboré dans un contexte différent de celui du plan précédent. Le continent doit, avec l’Agenda 2063 et à son premier Plan décennal de mise en œuvre désormais dégager les priorités et les plans de développement aux niveaux national, régional et continental. Il convient également de noter que la 27</w:t>
      </w:r>
      <w:r w:rsidRPr="004366FD">
        <w:rPr>
          <w:rFonts w:ascii="Arial" w:hAnsi="Arial" w:cs="Arial"/>
          <w:sz w:val="24"/>
          <w:szCs w:val="24"/>
          <w:vertAlign w:val="superscript"/>
          <w:lang w:val="fr-CI"/>
        </w:rPr>
        <w:t>e</w:t>
      </w:r>
      <w:r w:rsidRPr="004366FD">
        <w:rPr>
          <w:rFonts w:ascii="Arial" w:hAnsi="Arial" w:cs="Arial"/>
          <w:sz w:val="24"/>
          <w:szCs w:val="24"/>
          <w:lang w:val="fr-CI"/>
        </w:rPr>
        <w:t xml:space="preserve"> Conférence de l’Union a adopté une décision de financement des Programmes et opérations de l’Union à travers un prélèvement de 0,2</w:t>
      </w:r>
      <w:r w:rsidR="00331E1D">
        <w:rPr>
          <w:rFonts w:ascii="Arial" w:hAnsi="Arial" w:cs="Arial"/>
          <w:sz w:val="24"/>
          <w:szCs w:val="24"/>
          <w:lang w:val="fr-CI"/>
        </w:rPr>
        <w:t> </w:t>
      </w:r>
      <w:r w:rsidRPr="004366FD">
        <w:rPr>
          <w:rFonts w:ascii="Arial" w:hAnsi="Arial" w:cs="Arial"/>
          <w:sz w:val="24"/>
          <w:szCs w:val="24"/>
          <w:lang w:val="fr-CI"/>
        </w:rPr>
        <w:t>% sur certaines importations. Ces deux évolutions ont une incidence directe sur la conception, la mise en œuvre et le financement du nouveau plan.</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En outre, des leçons précieuses ont été tirées de l’auto-évaluation du Plan stratégique 2014-2017, des résultats de l’exercice de cartographie, ainsi que des conclusions et recommandations de l’Atelier d’internalisation au sein de la CUA tenu les 29 et 30 novembre 2016 avec d’autres organes et les CER.</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Default="007552BE" w:rsidP="00AE2F12">
      <w:pPr>
        <w:spacing w:after="0" w:line="240" w:lineRule="auto"/>
        <w:contextualSpacing/>
        <w:jc w:val="both"/>
        <w:rPr>
          <w:rFonts w:ascii="Arial" w:hAnsi="Arial" w:cs="Arial"/>
          <w:b/>
          <w:sz w:val="24"/>
          <w:szCs w:val="24"/>
          <w:lang w:val="fr-CI"/>
        </w:rPr>
      </w:pPr>
      <w:r w:rsidRPr="004366FD">
        <w:rPr>
          <w:rFonts w:ascii="Arial" w:hAnsi="Arial" w:cs="Arial"/>
          <w:b/>
          <w:sz w:val="24"/>
          <w:szCs w:val="24"/>
          <w:lang w:val="fr-CI"/>
        </w:rPr>
        <w:t>Les principales leçons apprises sont les suivantes :</w:t>
      </w:r>
    </w:p>
    <w:p w:rsidR="004254DD" w:rsidRPr="004366FD" w:rsidRDefault="004254DD" w:rsidP="00AE2F12">
      <w:pPr>
        <w:spacing w:after="0" w:line="240" w:lineRule="auto"/>
        <w:contextualSpacing/>
        <w:jc w:val="both"/>
        <w:rPr>
          <w:rFonts w:ascii="Arial" w:hAnsi="Arial" w:cs="Arial"/>
          <w:b/>
          <w:sz w:val="24"/>
          <w:szCs w:val="24"/>
          <w:lang w:val="fr-CI"/>
        </w:rPr>
      </w:pPr>
    </w:p>
    <w:p w:rsidR="007552BE" w:rsidRPr="004366FD" w:rsidRDefault="007552BE" w:rsidP="006628F0">
      <w:pPr>
        <w:numPr>
          <w:ilvl w:val="0"/>
          <w:numId w:val="22"/>
        </w:numPr>
        <w:spacing w:after="0" w:line="240" w:lineRule="auto"/>
        <w:ind w:left="1276" w:hanging="567"/>
        <w:contextualSpacing/>
        <w:jc w:val="both"/>
        <w:rPr>
          <w:rFonts w:ascii="Arial" w:hAnsi="Arial" w:cs="Arial"/>
          <w:sz w:val="24"/>
          <w:szCs w:val="24"/>
          <w:lang w:val="fr-CI"/>
        </w:rPr>
      </w:pPr>
      <w:r w:rsidRPr="004366FD">
        <w:rPr>
          <w:rFonts w:ascii="Arial" w:hAnsi="Arial" w:cs="Arial"/>
          <w:i/>
          <w:sz w:val="24"/>
          <w:szCs w:val="24"/>
          <w:lang w:val="fr-CI"/>
        </w:rPr>
        <w:t>Alignement et consolidation :</w:t>
      </w:r>
      <w:r w:rsidRPr="004366FD">
        <w:rPr>
          <w:rFonts w:ascii="Arial" w:hAnsi="Arial" w:cs="Arial"/>
          <w:sz w:val="24"/>
          <w:szCs w:val="24"/>
          <w:lang w:val="fr-CI"/>
        </w:rPr>
        <w:t xml:space="preserve"> désormais, l’identification et le séquençage des priorités, la mise en œuvre, le suivi et l’évaluation doivent se conformer strictement aux dispositions FTYIP de l’Agenda 2063. En outre, les nombreux cadres, stratégies et plans d’action continentaux existants devraient être consolidés et le processus de lancement de nouveaux cadres strictement rationnels.</w:t>
      </w:r>
    </w:p>
    <w:p w:rsidR="006628F0" w:rsidRPr="006628F0" w:rsidRDefault="006628F0" w:rsidP="006628F0">
      <w:pPr>
        <w:spacing w:after="0" w:line="240" w:lineRule="auto"/>
        <w:ind w:left="1276"/>
        <w:contextualSpacing/>
        <w:jc w:val="both"/>
        <w:rPr>
          <w:rFonts w:ascii="Arial" w:hAnsi="Arial" w:cs="Arial"/>
          <w:sz w:val="24"/>
          <w:szCs w:val="24"/>
          <w:lang w:val="fr-CI"/>
        </w:rPr>
      </w:pPr>
    </w:p>
    <w:p w:rsidR="007552BE" w:rsidRPr="004366FD" w:rsidRDefault="007552BE" w:rsidP="006628F0">
      <w:pPr>
        <w:numPr>
          <w:ilvl w:val="0"/>
          <w:numId w:val="22"/>
        </w:numPr>
        <w:spacing w:after="0" w:line="240" w:lineRule="auto"/>
        <w:ind w:left="1276" w:hanging="567"/>
        <w:contextualSpacing/>
        <w:jc w:val="both"/>
        <w:rPr>
          <w:rFonts w:ascii="Arial" w:hAnsi="Arial" w:cs="Arial"/>
          <w:sz w:val="24"/>
          <w:szCs w:val="24"/>
          <w:lang w:val="fr-CI"/>
        </w:rPr>
      </w:pPr>
      <w:r w:rsidRPr="004366FD">
        <w:rPr>
          <w:rFonts w:ascii="Arial" w:hAnsi="Arial" w:cs="Arial"/>
          <w:i/>
          <w:sz w:val="24"/>
          <w:szCs w:val="24"/>
          <w:lang w:val="fr-CI"/>
        </w:rPr>
        <w:t>Il conviendrait de mettre en place des mécanismes d’interaction et d’institutionnalisation de la planification, de la révision et de l’évaluation conjointes transparents</w:t>
      </w:r>
      <w:r w:rsidRPr="004366FD">
        <w:rPr>
          <w:rFonts w:ascii="Arial" w:hAnsi="Arial" w:cs="Arial"/>
          <w:sz w:val="24"/>
          <w:szCs w:val="24"/>
          <w:lang w:val="fr-CI"/>
        </w:rPr>
        <w:t>. Ceci renforcera la collaboration entre les départements et le concept de «</w:t>
      </w:r>
      <w:r w:rsidR="00331E1D">
        <w:rPr>
          <w:rFonts w:ascii="Arial" w:hAnsi="Arial" w:cs="Arial"/>
          <w:sz w:val="24"/>
          <w:szCs w:val="24"/>
          <w:lang w:val="fr-CI"/>
        </w:rPr>
        <w:t> </w:t>
      </w:r>
      <w:r w:rsidRPr="004366FD">
        <w:rPr>
          <w:rFonts w:ascii="Arial" w:hAnsi="Arial" w:cs="Arial"/>
          <w:sz w:val="24"/>
          <w:szCs w:val="24"/>
          <w:lang w:val="fr-CI"/>
        </w:rPr>
        <w:t>fournir des résultats ensemble</w:t>
      </w:r>
      <w:r w:rsidR="00331E1D">
        <w:rPr>
          <w:rFonts w:ascii="Arial" w:hAnsi="Arial" w:cs="Arial"/>
          <w:sz w:val="24"/>
          <w:szCs w:val="24"/>
          <w:lang w:val="fr-CI"/>
        </w:rPr>
        <w:t> </w:t>
      </w:r>
      <w:r w:rsidRPr="004366FD">
        <w:rPr>
          <w:rFonts w:ascii="Arial" w:hAnsi="Arial" w:cs="Arial"/>
          <w:sz w:val="24"/>
          <w:szCs w:val="24"/>
          <w:lang w:val="fr-CI"/>
        </w:rPr>
        <w:t>» – CUA, organes et CER.</w:t>
      </w:r>
    </w:p>
    <w:p w:rsidR="006628F0" w:rsidRPr="006628F0" w:rsidRDefault="006628F0" w:rsidP="006628F0">
      <w:pPr>
        <w:spacing w:after="0" w:line="240" w:lineRule="auto"/>
        <w:ind w:left="1276"/>
        <w:contextualSpacing/>
        <w:jc w:val="both"/>
        <w:rPr>
          <w:rFonts w:ascii="Arial" w:hAnsi="Arial" w:cs="Arial"/>
          <w:sz w:val="24"/>
          <w:szCs w:val="24"/>
          <w:lang w:val="fr-CI"/>
        </w:rPr>
      </w:pPr>
    </w:p>
    <w:p w:rsidR="007552BE" w:rsidRPr="004366FD" w:rsidRDefault="007552BE" w:rsidP="006628F0">
      <w:pPr>
        <w:numPr>
          <w:ilvl w:val="0"/>
          <w:numId w:val="22"/>
        </w:numPr>
        <w:spacing w:after="0" w:line="240" w:lineRule="auto"/>
        <w:ind w:left="1276" w:hanging="567"/>
        <w:contextualSpacing/>
        <w:jc w:val="both"/>
        <w:rPr>
          <w:rFonts w:ascii="Arial" w:hAnsi="Arial" w:cs="Arial"/>
          <w:sz w:val="24"/>
          <w:szCs w:val="24"/>
          <w:lang w:val="fr-CI"/>
        </w:rPr>
      </w:pPr>
      <w:r w:rsidRPr="004366FD">
        <w:rPr>
          <w:rFonts w:ascii="Arial" w:hAnsi="Arial" w:cs="Arial"/>
          <w:i/>
          <w:sz w:val="24"/>
          <w:szCs w:val="24"/>
          <w:lang w:val="fr-CI"/>
        </w:rPr>
        <w:t>Accent mis davantage sur les résultats, la responsabilisation et la transparence :</w:t>
      </w:r>
      <w:r w:rsidRPr="004366FD">
        <w:rPr>
          <w:rFonts w:ascii="Arial" w:hAnsi="Arial" w:cs="Arial"/>
          <w:sz w:val="24"/>
          <w:szCs w:val="24"/>
          <w:lang w:val="fr-CI"/>
        </w:rPr>
        <w:t xml:space="preserve"> cela est particulièrement important en ce sens qu’ils permettront de mesurer les impacts que ressentiront les citoyens africains sur le terrain. Il faut donc mettre au point des outils permettant de mesurer ou d’évaluer la perception qu’ont les citoyens de la pertinence et des effets des programmes et des opérations de la CUA au niveau des États membres.</w:t>
      </w:r>
    </w:p>
    <w:p w:rsidR="006628F0" w:rsidRPr="006628F0" w:rsidRDefault="006628F0" w:rsidP="006628F0">
      <w:pPr>
        <w:spacing w:after="0" w:line="240" w:lineRule="auto"/>
        <w:ind w:left="1276"/>
        <w:contextualSpacing/>
        <w:jc w:val="both"/>
        <w:rPr>
          <w:rFonts w:ascii="Arial" w:hAnsi="Arial" w:cs="Arial"/>
          <w:sz w:val="24"/>
          <w:szCs w:val="24"/>
          <w:lang w:val="fr-CI"/>
        </w:rPr>
      </w:pPr>
    </w:p>
    <w:p w:rsidR="007552BE" w:rsidRPr="004366FD" w:rsidRDefault="007552BE" w:rsidP="006628F0">
      <w:pPr>
        <w:numPr>
          <w:ilvl w:val="0"/>
          <w:numId w:val="22"/>
        </w:numPr>
        <w:spacing w:after="0" w:line="240" w:lineRule="auto"/>
        <w:ind w:left="1276" w:hanging="567"/>
        <w:contextualSpacing/>
        <w:jc w:val="both"/>
        <w:rPr>
          <w:rFonts w:ascii="Arial" w:hAnsi="Arial" w:cs="Arial"/>
          <w:sz w:val="24"/>
          <w:szCs w:val="24"/>
          <w:lang w:val="fr-CI"/>
        </w:rPr>
      </w:pPr>
      <w:r w:rsidRPr="004366FD">
        <w:rPr>
          <w:rFonts w:ascii="Arial" w:hAnsi="Arial" w:cs="Arial"/>
          <w:i/>
          <w:sz w:val="24"/>
          <w:szCs w:val="24"/>
          <w:lang w:val="fr-CI"/>
        </w:rPr>
        <w:t>Une approche intégrée (structurelle et institutionnelle) de la planification et de la budgétisation</w:t>
      </w:r>
      <w:r w:rsidRPr="004366FD">
        <w:rPr>
          <w:rFonts w:ascii="Arial" w:hAnsi="Arial" w:cs="Arial"/>
          <w:sz w:val="24"/>
          <w:szCs w:val="24"/>
          <w:lang w:val="fr-CI"/>
        </w:rPr>
        <w:t> : Une proposition qui permettra d’atteindre ce but est de réunir les fonctions de planification et de budgétisation au sein d’une entité centrale unique.</w:t>
      </w:r>
    </w:p>
    <w:p w:rsidR="006628F0" w:rsidRDefault="006628F0" w:rsidP="006628F0">
      <w:pPr>
        <w:spacing w:after="0" w:line="240" w:lineRule="auto"/>
        <w:ind w:left="1276"/>
        <w:contextualSpacing/>
        <w:jc w:val="both"/>
        <w:rPr>
          <w:rFonts w:ascii="Arial" w:hAnsi="Arial" w:cs="Arial"/>
          <w:sz w:val="24"/>
          <w:szCs w:val="24"/>
          <w:lang w:val="fr-CI"/>
        </w:rPr>
      </w:pPr>
    </w:p>
    <w:p w:rsidR="006628F0" w:rsidRDefault="006628F0" w:rsidP="006628F0">
      <w:pPr>
        <w:spacing w:after="0" w:line="240" w:lineRule="auto"/>
        <w:ind w:left="1276"/>
        <w:contextualSpacing/>
        <w:jc w:val="both"/>
        <w:rPr>
          <w:rFonts w:ascii="Arial" w:hAnsi="Arial" w:cs="Arial"/>
          <w:sz w:val="24"/>
          <w:szCs w:val="24"/>
          <w:lang w:val="fr-CI"/>
        </w:rPr>
      </w:pPr>
    </w:p>
    <w:p w:rsidR="006628F0" w:rsidRPr="006628F0" w:rsidRDefault="006628F0" w:rsidP="006628F0">
      <w:pPr>
        <w:spacing w:after="0" w:line="240" w:lineRule="auto"/>
        <w:ind w:left="1276"/>
        <w:contextualSpacing/>
        <w:jc w:val="both"/>
        <w:rPr>
          <w:rFonts w:ascii="Arial" w:hAnsi="Arial" w:cs="Arial"/>
          <w:sz w:val="24"/>
          <w:szCs w:val="24"/>
          <w:lang w:val="fr-CI"/>
        </w:rPr>
      </w:pPr>
    </w:p>
    <w:p w:rsidR="007552BE" w:rsidRPr="004366FD" w:rsidRDefault="007552BE" w:rsidP="006628F0">
      <w:pPr>
        <w:numPr>
          <w:ilvl w:val="0"/>
          <w:numId w:val="22"/>
        </w:numPr>
        <w:spacing w:after="0" w:line="240" w:lineRule="auto"/>
        <w:ind w:left="1276" w:hanging="567"/>
        <w:contextualSpacing/>
        <w:jc w:val="both"/>
        <w:rPr>
          <w:rFonts w:ascii="Arial" w:hAnsi="Arial" w:cs="Arial"/>
          <w:sz w:val="24"/>
          <w:szCs w:val="24"/>
          <w:lang w:val="fr-CI"/>
        </w:rPr>
      </w:pPr>
      <w:r w:rsidRPr="004366FD">
        <w:rPr>
          <w:rFonts w:ascii="Arial" w:hAnsi="Arial" w:cs="Arial"/>
          <w:i/>
          <w:sz w:val="24"/>
          <w:szCs w:val="24"/>
          <w:lang w:val="fr-CI"/>
        </w:rPr>
        <w:lastRenderedPageBreak/>
        <w:t>Accélération de la mise en œuvre des plans pluriannuels et des budgets par le biais du (MTEF)</w:t>
      </w:r>
      <w:r w:rsidRPr="004366FD">
        <w:rPr>
          <w:rFonts w:ascii="Arial" w:hAnsi="Arial" w:cs="Arial"/>
          <w:sz w:val="24"/>
          <w:szCs w:val="24"/>
          <w:lang w:val="fr-CI"/>
        </w:rPr>
        <w:t xml:space="preserve"> – ce qui facilitera la planification à long terme des ressources, tout en offrant la flexibilité nécessaire pour répondre aux nouveaux besoins et priorités.</w:t>
      </w:r>
    </w:p>
    <w:p w:rsidR="006628F0" w:rsidRPr="006628F0" w:rsidRDefault="006628F0" w:rsidP="006628F0">
      <w:pPr>
        <w:spacing w:after="0" w:line="240" w:lineRule="auto"/>
        <w:ind w:left="1276"/>
        <w:contextualSpacing/>
        <w:jc w:val="both"/>
        <w:rPr>
          <w:rFonts w:ascii="Arial" w:hAnsi="Arial" w:cs="Arial"/>
          <w:sz w:val="24"/>
          <w:szCs w:val="24"/>
          <w:lang w:val="fr-CI"/>
        </w:rPr>
      </w:pPr>
    </w:p>
    <w:p w:rsidR="007552BE" w:rsidRPr="004366FD" w:rsidRDefault="007552BE" w:rsidP="006628F0">
      <w:pPr>
        <w:numPr>
          <w:ilvl w:val="0"/>
          <w:numId w:val="22"/>
        </w:numPr>
        <w:spacing w:after="0" w:line="240" w:lineRule="auto"/>
        <w:ind w:left="1276" w:hanging="567"/>
        <w:contextualSpacing/>
        <w:jc w:val="both"/>
        <w:rPr>
          <w:rFonts w:ascii="Arial" w:hAnsi="Arial" w:cs="Arial"/>
          <w:sz w:val="24"/>
          <w:szCs w:val="24"/>
          <w:lang w:val="fr-CI"/>
        </w:rPr>
      </w:pPr>
      <w:r w:rsidRPr="004366FD">
        <w:rPr>
          <w:rFonts w:ascii="Arial" w:hAnsi="Arial" w:cs="Arial"/>
          <w:i/>
          <w:sz w:val="24"/>
          <w:szCs w:val="24"/>
          <w:lang w:val="fr-CI"/>
        </w:rPr>
        <w:t>Renouvellement</w:t>
      </w:r>
      <w:r w:rsidRPr="004366FD">
        <w:rPr>
          <w:rFonts w:ascii="Arial" w:hAnsi="Arial" w:cs="Arial"/>
          <w:sz w:val="24"/>
          <w:szCs w:val="24"/>
          <w:lang w:val="fr-CI"/>
        </w:rPr>
        <w:t xml:space="preserve"> : toutes les parties prenantes doivent aligner leurs visions, leurs missions et leurs structures, ainsi que leurs plans sur les impératifs du FTYIP.</w:t>
      </w:r>
    </w:p>
    <w:p w:rsidR="006628F0" w:rsidRPr="006628F0" w:rsidRDefault="006628F0" w:rsidP="006628F0">
      <w:pPr>
        <w:spacing w:after="0" w:line="240" w:lineRule="auto"/>
        <w:ind w:left="1276"/>
        <w:contextualSpacing/>
        <w:jc w:val="both"/>
        <w:rPr>
          <w:rFonts w:ascii="Arial" w:hAnsi="Arial" w:cs="Arial"/>
          <w:sz w:val="24"/>
          <w:szCs w:val="24"/>
          <w:lang w:val="fr-CI"/>
        </w:rPr>
      </w:pPr>
    </w:p>
    <w:p w:rsidR="007552BE" w:rsidRPr="004366FD" w:rsidRDefault="007552BE" w:rsidP="006628F0">
      <w:pPr>
        <w:numPr>
          <w:ilvl w:val="0"/>
          <w:numId w:val="22"/>
        </w:numPr>
        <w:spacing w:after="0" w:line="240" w:lineRule="auto"/>
        <w:ind w:left="1276" w:hanging="567"/>
        <w:contextualSpacing/>
        <w:jc w:val="both"/>
        <w:rPr>
          <w:rFonts w:ascii="Arial" w:hAnsi="Arial" w:cs="Arial"/>
          <w:sz w:val="24"/>
          <w:szCs w:val="24"/>
          <w:lang w:val="fr-CI"/>
        </w:rPr>
      </w:pPr>
      <w:r w:rsidRPr="004366FD">
        <w:rPr>
          <w:rFonts w:ascii="Arial" w:hAnsi="Arial" w:cs="Arial"/>
          <w:i/>
          <w:sz w:val="24"/>
          <w:szCs w:val="24"/>
          <w:lang w:val="fr-CI"/>
        </w:rPr>
        <w:t>S’attaquer aux problèmes de capacité vitale</w:t>
      </w:r>
      <w:r w:rsidRPr="004366FD">
        <w:rPr>
          <w:rFonts w:ascii="Arial" w:hAnsi="Arial" w:cs="Arial"/>
          <w:sz w:val="24"/>
          <w:szCs w:val="24"/>
          <w:lang w:val="fr-CI"/>
        </w:rPr>
        <w:t xml:space="preserve"> pour renforcer la capacité de la Commission à mettre en œuvre ses programmes, en particulier les projets phares de l’Agenda 2063.</w:t>
      </w:r>
    </w:p>
    <w:p w:rsidR="006628F0" w:rsidRPr="006628F0" w:rsidRDefault="006628F0" w:rsidP="006628F0">
      <w:pPr>
        <w:spacing w:after="0" w:line="240" w:lineRule="auto"/>
        <w:ind w:left="1276"/>
        <w:contextualSpacing/>
        <w:jc w:val="both"/>
        <w:rPr>
          <w:rFonts w:ascii="Arial" w:hAnsi="Arial" w:cs="Arial"/>
          <w:sz w:val="24"/>
          <w:szCs w:val="24"/>
          <w:lang w:val="fr-CI"/>
        </w:rPr>
      </w:pPr>
    </w:p>
    <w:p w:rsidR="007552BE" w:rsidRPr="004366FD" w:rsidRDefault="007552BE" w:rsidP="006628F0">
      <w:pPr>
        <w:numPr>
          <w:ilvl w:val="0"/>
          <w:numId w:val="22"/>
        </w:numPr>
        <w:spacing w:after="0" w:line="240" w:lineRule="auto"/>
        <w:ind w:left="1276" w:hanging="567"/>
        <w:contextualSpacing/>
        <w:jc w:val="both"/>
        <w:rPr>
          <w:rFonts w:ascii="Arial" w:hAnsi="Arial" w:cs="Arial"/>
          <w:sz w:val="24"/>
          <w:szCs w:val="24"/>
          <w:lang w:val="fr-CI"/>
        </w:rPr>
      </w:pPr>
      <w:r w:rsidRPr="004366FD">
        <w:rPr>
          <w:rFonts w:ascii="Arial" w:hAnsi="Arial" w:cs="Arial"/>
          <w:i/>
          <w:sz w:val="24"/>
          <w:szCs w:val="24"/>
          <w:lang w:val="fr-CI"/>
        </w:rPr>
        <w:t>Cohérence stricte entre les plans annuels des départements</w:t>
      </w:r>
      <w:r w:rsidR="00331E1D">
        <w:rPr>
          <w:rFonts w:ascii="Arial" w:hAnsi="Arial" w:cs="Arial"/>
          <w:i/>
          <w:sz w:val="24"/>
          <w:szCs w:val="24"/>
          <w:lang w:val="fr-CI"/>
        </w:rPr>
        <w:t>/</w:t>
      </w:r>
      <w:r w:rsidRPr="004366FD">
        <w:rPr>
          <w:rFonts w:ascii="Arial" w:hAnsi="Arial" w:cs="Arial"/>
          <w:i/>
          <w:sz w:val="24"/>
          <w:szCs w:val="24"/>
          <w:lang w:val="fr-CI"/>
        </w:rPr>
        <w:t>directions</w:t>
      </w:r>
      <w:r w:rsidR="00331E1D">
        <w:rPr>
          <w:rFonts w:ascii="Arial" w:hAnsi="Arial" w:cs="Arial"/>
          <w:i/>
          <w:sz w:val="24"/>
          <w:szCs w:val="24"/>
          <w:lang w:val="fr-CI"/>
        </w:rPr>
        <w:t>/</w:t>
      </w:r>
      <w:r w:rsidRPr="004366FD">
        <w:rPr>
          <w:rFonts w:ascii="Arial" w:hAnsi="Arial" w:cs="Arial"/>
          <w:i/>
          <w:sz w:val="24"/>
          <w:szCs w:val="24"/>
          <w:lang w:val="fr-CI"/>
        </w:rPr>
        <w:t>unités de la Commission et le cadre des résultats du plan à moyen terme lors de l’élaboration des plans de travail annuels :</w:t>
      </w:r>
      <w:r w:rsidRPr="004366FD">
        <w:rPr>
          <w:rFonts w:ascii="Arial" w:hAnsi="Arial" w:cs="Arial"/>
          <w:sz w:val="24"/>
          <w:szCs w:val="24"/>
          <w:lang w:val="fr-CI"/>
        </w:rPr>
        <w:t xml:space="preserve"> ceci est essentiel pour la responsabilisation et la prestation des services.</w:t>
      </w:r>
    </w:p>
    <w:p w:rsidR="006628F0" w:rsidRPr="006628F0" w:rsidRDefault="006628F0" w:rsidP="006628F0">
      <w:pPr>
        <w:spacing w:after="0" w:line="240" w:lineRule="auto"/>
        <w:ind w:left="1276"/>
        <w:contextualSpacing/>
        <w:jc w:val="both"/>
        <w:rPr>
          <w:rFonts w:ascii="Arial" w:hAnsi="Arial" w:cs="Arial"/>
          <w:sz w:val="24"/>
          <w:szCs w:val="24"/>
          <w:lang w:val="fr-CI"/>
        </w:rPr>
      </w:pPr>
    </w:p>
    <w:p w:rsidR="007552BE" w:rsidRPr="004366FD" w:rsidRDefault="007552BE" w:rsidP="006628F0">
      <w:pPr>
        <w:numPr>
          <w:ilvl w:val="0"/>
          <w:numId w:val="22"/>
        </w:numPr>
        <w:spacing w:after="0" w:line="240" w:lineRule="auto"/>
        <w:ind w:left="1276" w:hanging="567"/>
        <w:contextualSpacing/>
        <w:jc w:val="both"/>
        <w:rPr>
          <w:rFonts w:ascii="Arial" w:hAnsi="Arial" w:cs="Arial"/>
          <w:sz w:val="24"/>
          <w:szCs w:val="24"/>
          <w:lang w:val="fr-CI"/>
        </w:rPr>
      </w:pPr>
      <w:r w:rsidRPr="004366FD">
        <w:rPr>
          <w:rFonts w:ascii="Arial" w:hAnsi="Arial" w:cs="Arial"/>
          <w:i/>
          <w:sz w:val="24"/>
          <w:szCs w:val="24"/>
          <w:lang w:val="fr-CI"/>
        </w:rPr>
        <w:t>Communication</w:t>
      </w:r>
      <w:r w:rsidRPr="004366FD">
        <w:rPr>
          <w:rFonts w:ascii="Arial" w:hAnsi="Arial" w:cs="Arial"/>
          <w:sz w:val="24"/>
          <w:szCs w:val="24"/>
          <w:lang w:val="fr-CI"/>
        </w:rPr>
        <w:t xml:space="preserve"> </w:t>
      </w:r>
      <w:r w:rsidRPr="004366FD">
        <w:rPr>
          <w:rFonts w:ascii="Arial" w:hAnsi="Arial" w:cs="Arial"/>
          <w:i/>
          <w:sz w:val="24"/>
          <w:szCs w:val="24"/>
          <w:lang w:val="fr-CI"/>
        </w:rPr>
        <w:t xml:space="preserve">et sensibilisation </w:t>
      </w:r>
      <w:r w:rsidRPr="004366FD">
        <w:rPr>
          <w:rFonts w:ascii="Arial" w:hAnsi="Arial" w:cs="Arial"/>
          <w:sz w:val="24"/>
          <w:szCs w:val="24"/>
          <w:lang w:val="fr-CI"/>
        </w:rPr>
        <w:t xml:space="preserve">: la Commission devrait déployer un effort </w:t>
      </w:r>
      <w:r w:rsidRPr="006628F0">
        <w:rPr>
          <w:rFonts w:ascii="Arial" w:hAnsi="Arial" w:cs="Arial"/>
          <w:i/>
          <w:sz w:val="24"/>
          <w:szCs w:val="24"/>
          <w:lang w:val="fr-CI"/>
        </w:rPr>
        <w:t>beaucoup</w:t>
      </w:r>
      <w:r w:rsidRPr="004366FD">
        <w:rPr>
          <w:rFonts w:ascii="Arial" w:hAnsi="Arial" w:cs="Arial"/>
          <w:sz w:val="24"/>
          <w:szCs w:val="24"/>
          <w:lang w:val="fr-CI"/>
        </w:rPr>
        <w:t xml:space="preserve"> plus important pour faire connaître son travail – par l’intermédiaire de l’ECOSSOC et de ses sections nationales – et pour renforcer l’apport des citoyens africains dans ses travaux.</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b/>
          <w:sz w:val="24"/>
          <w:szCs w:val="24"/>
          <w:lang w:val="fr-CI"/>
        </w:rPr>
      </w:pPr>
      <w:r w:rsidRPr="004366FD">
        <w:rPr>
          <w:rFonts w:ascii="Arial" w:hAnsi="Arial" w:cs="Arial"/>
          <w:b/>
          <w:sz w:val="24"/>
          <w:szCs w:val="24"/>
          <w:lang w:val="fr-CI"/>
        </w:rPr>
        <w:t xml:space="preserve">Sur la base des leçons ci-dessus et du nouveau contexte du plan, les organes délibérants de l’UA sont invités à examiner et </w:t>
      </w:r>
      <w:r w:rsidR="006628F0">
        <w:rPr>
          <w:rFonts w:ascii="Arial" w:hAnsi="Arial" w:cs="Arial"/>
          <w:b/>
          <w:sz w:val="24"/>
          <w:szCs w:val="24"/>
          <w:lang w:val="fr-CI"/>
        </w:rPr>
        <w:t>à adopter les mesures suivantes</w:t>
      </w:r>
      <w:r w:rsidRPr="004366FD">
        <w:rPr>
          <w:rFonts w:ascii="Arial" w:hAnsi="Arial" w:cs="Arial"/>
          <w:b/>
          <w:sz w:val="24"/>
          <w:szCs w:val="24"/>
          <w:lang w:val="fr-CI"/>
        </w:rPr>
        <w:t>:</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6628F0">
      <w:pPr>
        <w:numPr>
          <w:ilvl w:val="0"/>
          <w:numId w:val="25"/>
        </w:numPr>
        <w:spacing w:after="0" w:line="240" w:lineRule="auto"/>
        <w:ind w:left="1276" w:hanging="567"/>
        <w:contextualSpacing/>
        <w:jc w:val="both"/>
        <w:rPr>
          <w:rFonts w:ascii="Arial" w:hAnsi="Arial" w:cs="Arial"/>
          <w:i/>
          <w:sz w:val="24"/>
          <w:szCs w:val="24"/>
          <w:lang w:val="fr-CI"/>
        </w:rPr>
      </w:pPr>
      <w:r w:rsidRPr="004366FD">
        <w:rPr>
          <w:rFonts w:ascii="Arial" w:hAnsi="Arial" w:cs="Arial"/>
          <w:i/>
          <w:sz w:val="24"/>
          <w:szCs w:val="24"/>
          <w:lang w:val="fr-CI"/>
        </w:rPr>
        <w:t>Renforcer l’alignement sur le FTYIP de l’Agenda 2063 :</w:t>
      </w:r>
    </w:p>
    <w:p w:rsidR="006628F0" w:rsidRDefault="006628F0" w:rsidP="006628F0">
      <w:pPr>
        <w:spacing w:after="0" w:line="240" w:lineRule="auto"/>
        <w:ind w:left="1440"/>
        <w:contextualSpacing/>
        <w:jc w:val="both"/>
        <w:rPr>
          <w:rFonts w:ascii="Arial" w:hAnsi="Arial" w:cs="Arial"/>
          <w:i/>
          <w:sz w:val="24"/>
          <w:szCs w:val="24"/>
          <w:lang w:val="fr-CI"/>
        </w:rPr>
      </w:pPr>
    </w:p>
    <w:p w:rsidR="007552BE" w:rsidRPr="004366FD" w:rsidRDefault="006628F0" w:rsidP="006628F0">
      <w:pPr>
        <w:numPr>
          <w:ilvl w:val="1"/>
          <w:numId w:val="25"/>
        </w:numPr>
        <w:spacing w:after="0" w:line="240" w:lineRule="auto"/>
        <w:ind w:left="1843" w:hanging="567"/>
        <w:contextualSpacing/>
        <w:jc w:val="both"/>
        <w:rPr>
          <w:rFonts w:ascii="Arial" w:hAnsi="Arial" w:cs="Arial"/>
          <w:i/>
          <w:sz w:val="24"/>
          <w:szCs w:val="24"/>
          <w:lang w:val="fr-CI"/>
        </w:rPr>
      </w:pPr>
      <w:r>
        <w:rPr>
          <w:rFonts w:ascii="Arial" w:hAnsi="Arial" w:cs="Arial"/>
          <w:i/>
          <w:sz w:val="24"/>
          <w:szCs w:val="24"/>
          <w:lang w:val="fr-CI"/>
        </w:rPr>
        <w:t>l</w:t>
      </w:r>
      <w:r w:rsidR="007552BE" w:rsidRPr="004366FD">
        <w:rPr>
          <w:rFonts w:ascii="Arial" w:hAnsi="Arial" w:cs="Arial"/>
          <w:i/>
          <w:sz w:val="24"/>
          <w:szCs w:val="24"/>
          <w:lang w:val="fr-CI"/>
        </w:rPr>
        <w:t>e nouveau plan de la Commission devrait être désigné comme étant un Plan à moyen terme (PMT). Ceci est justifié par le fait que les orientations stratégiques des plans précédents sont déjà fournies par l’Agenda 2063 et le premier Plan décennal de mise en œuvre ;</w:t>
      </w:r>
    </w:p>
    <w:p w:rsidR="006628F0" w:rsidRDefault="006628F0" w:rsidP="006628F0">
      <w:pPr>
        <w:spacing w:after="0" w:line="240" w:lineRule="auto"/>
        <w:ind w:left="1843"/>
        <w:contextualSpacing/>
        <w:jc w:val="both"/>
        <w:rPr>
          <w:rFonts w:ascii="Arial" w:hAnsi="Arial" w:cs="Arial"/>
          <w:i/>
          <w:sz w:val="24"/>
          <w:szCs w:val="24"/>
          <w:lang w:val="fr-CI"/>
        </w:rPr>
      </w:pPr>
    </w:p>
    <w:p w:rsidR="007552BE" w:rsidRPr="004366FD" w:rsidRDefault="006628F0" w:rsidP="006628F0">
      <w:pPr>
        <w:numPr>
          <w:ilvl w:val="1"/>
          <w:numId w:val="25"/>
        </w:numPr>
        <w:spacing w:after="0" w:line="240" w:lineRule="auto"/>
        <w:ind w:left="1843" w:hanging="567"/>
        <w:contextualSpacing/>
        <w:jc w:val="both"/>
        <w:rPr>
          <w:rFonts w:ascii="Arial" w:hAnsi="Arial" w:cs="Arial"/>
          <w:i/>
          <w:sz w:val="24"/>
          <w:szCs w:val="24"/>
          <w:lang w:val="fr-CI"/>
        </w:rPr>
      </w:pPr>
      <w:r>
        <w:rPr>
          <w:rFonts w:ascii="Arial" w:hAnsi="Arial" w:cs="Arial"/>
          <w:i/>
          <w:sz w:val="24"/>
          <w:szCs w:val="24"/>
          <w:lang w:val="fr-CI"/>
        </w:rPr>
        <w:t>u</w:t>
      </w:r>
      <w:r w:rsidR="007552BE" w:rsidRPr="004366FD">
        <w:rPr>
          <w:rFonts w:ascii="Arial" w:hAnsi="Arial" w:cs="Arial"/>
          <w:i/>
          <w:sz w:val="24"/>
          <w:szCs w:val="24"/>
          <w:lang w:val="fr-CI"/>
        </w:rPr>
        <w:t>n cycle de planification quinquennal synchronisé avec les cycles de planification des plans décennaux de mise en œuvre de l’Agenda 2063 devrait être adopté. Il est donc proposé que le cycle du nouveau PMT de la Commissio</w:t>
      </w:r>
      <w:r>
        <w:rPr>
          <w:rFonts w:ascii="Arial" w:hAnsi="Arial" w:cs="Arial"/>
          <w:i/>
          <w:sz w:val="24"/>
          <w:szCs w:val="24"/>
          <w:lang w:val="fr-CI"/>
        </w:rPr>
        <w:t>n concerne la période 2019-2023 ;</w:t>
      </w:r>
    </w:p>
    <w:p w:rsidR="006628F0" w:rsidRDefault="006628F0" w:rsidP="006628F0">
      <w:pPr>
        <w:spacing w:after="0" w:line="240" w:lineRule="auto"/>
        <w:ind w:left="1843"/>
        <w:contextualSpacing/>
        <w:jc w:val="both"/>
        <w:rPr>
          <w:rFonts w:ascii="Arial" w:hAnsi="Arial" w:cs="Arial"/>
          <w:i/>
          <w:sz w:val="24"/>
          <w:szCs w:val="24"/>
          <w:lang w:val="fr-CI"/>
        </w:rPr>
      </w:pPr>
    </w:p>
    <w:p w:rsidR="007552BE" w:rsidRPr="004366FD" w:rsidRDefault="006628F0" w:rsidP="006628F0">
      <w:pPr>
        <w:numPr>
          <w:ilvl w:val="1"/>
          <w:numId w:val="25"/>
        </w:numPr>
        <w:spacing w:after="0" w:line="240" w:lineRule="auto"/>
        <w:ind w:left="1843" w:hanging="567"/>
        <w:contextualSpacing/>
        <w:jc w:val="both"/>
        <w:rPr>
          <w:rFonts w:ascii="Arial" w:hAnsi="Arial" w:cs="Arial"/>
          <w:i/>
          <w:sz w:val="24"/>
          <w:szCs w:val="24"/>
          <w:lang w:val="fr-CI"/>
        </w:rPr>
      </w:pPr>
      <w:r>
        <w:rPr>
          <w:rFonts w:ascii="Arial" w:hAnsi="Arial" w:cs="Arial"/>
          <w:i/>
          <w:sz w:val="24"/>
          <w:szCs w:val="24"/>
          <w:lang w:val="fr-CI"/>
        </w:rPr>
        <w:t>l</w:t>
      </w:r>
      <w:r w:rsidR="007552BE" w:rsidRPr="004366FD">
        <w:rPr>
          <w:rFonts w:ascii="Arial" w:hAnsi="Arial" w:cs="Arial"/>
          <w:i/>
          <w:sz w:val="24"/>
          <w:szCs w:val="24"/>
          <w:lang w:val="fr-CI"/>
        </w:rPr>
        <w:t>’année 2018 doit être considérée comme une année de transition au cours de laquelle toutes les activités de lancement du plan seront mises en œuvre, y compris l’évaluation à mi-parcours du FTYIP.</w:t>
      </w:r>
    </w:p>
    <w:p w:rsidR="006628F0" w:rsidRDefault="006628F0" w:rsidP="006628F0">
      <w:pPr>
        <w:spacing w:after="0" w:line="240" w:lineRule="auto"/>
        <w:ind w:left="720"/>
        <w:contextualSpacing/>
        <w:jc w:val="both"/>
        <w:rPr>
          <w:rFonts w:ascii="Arial" w:hAnsi="Arial" w:cs="Arial"/>
          <w:i/>
          <w:sz w:val="24"/>
          <w:szCs w:val="24"/>
          <w:lang w:val="fr-CI"/>
        </w:rPr>
      </w:pPr>
    </w:p>
    <w:p w:rsidR="007552BE" w:rsidRPr="004366FD" w:rsidRDefault="007552BE" w:rsidP="006628F0">
      <w:pPr>
        <w:numPr>
          <w:ilvl w:val="0"/>
          <w:numId w:val="25"/>
        </w:numPr>
        <w:spacing w:after="0" w:line="240" w:lineRule="auto"/>
        <w:ind w:left="1276" w:hanging="567"/>
        <w:contextualSpacing/>
        <w:jc w:val="both"/>
        <w:rPr>
          <w:rFonts w:ascii="Arial" w:hAnsi="Arial" w:cs="Arial"/>
          <w:i/>
          <w:sz w:val="24"/>
          <w:szCs w:val="24"/>
          <w:lang w:val="fr-CI"/>
        </w:rPr>
      </w:pPr>
      <w:r w:rsidRPr="004366FD">
        <w:rPr>
          <w:rFonts w:ascii="Arial" w:hAnsi="Arial" w:cs="Arial"/>
          <w:i/>
          <w:sz w:val="24"/>
          <w:szCs w:val="24"/>
          <w:lang w:val="fr-CI"/>
        </w:rPr>
        <w:t>La Commission préparera et soumettra un projet de plan à moyen terme tel que décrit ci-dessus pour par les organes délibérants de l’UA pour adoption en juin 2017</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26525D">
      <w:pPr>
        <w:pStyle w:val="ListParagraph"/>
        <w:numPr>
          <w:ilvl w:val="0"/>
          <w:numId w:val="29"/>
        </w:numPr>
        <w:spacing w:after="0" w:line="240" w:lineRule="auto"/>
        <w:ind w:hanging="720"/>
        <w:rPr>
          <w:rFonts w:ascii="Arial" w:hAnsi="Arial" w:cs="Arial"/>
          <w:b/>
          <w:sz w:val="24"/>
          <w:szCs w:val="24"/>
          <w:lang w:val="fr-CI"/>
        </w:rPr>
      </w:pPr>
      <w:r w:rsidRPr="004366FD">
        <w:rPr>
          <w:rFonts w:ascii="Arial" w:eastAsia="Calibri" w:hAnsi="Arial" w:cs="Arial"/>
          <w:b/>
          <w:bCs/>
          <w:sz w:val="24"/>
          <w:szCs w:val="24"/>
          <w:lang w:val="fr-CI"/>
        </w:rPr>
        <w:t>Conclusion</w:t>
      </w:r>
    </w:p>
    <w:p w:rsidR="007552BE" w:rsidRPr="004366FD" w:rsidRDefault="007552BE" w:rsidP="00AE2F12">
      <w:pPr>
        <w:spacing w:after="0" w:line="240" w:lineRule="auto"/>
        <w:contextualSpacing/>
        <w:jc w:val="both"/>
        <w:rPr>
          <w:rFonts w:ascii="Arial" w:hAnsi="Arial" w:cs="Arial"/>
          <w:sz w:val="24"/>
          <w:szCs w:val="24"/>
          <w:lang w:val="fr-CI"/>
        </w:rPr>
      </w:pPr>
    </w:p>
    <w:p w:rsidR="007552BE"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 xml:space="preserve">La mise en œuvre de l’Agenda 2063 gagne du terrain aux niveaux national, régional et continental. Il est nécessaire de consolider les acquis et de veiller à ce que les États </w:t>
      </w:r>
      <w:r w:rsidRPr="004366FD">
        <w:rPr>
          <w:rFonts w:ascii="Arial" w:hAnsi="Arial" w:cs="Arial"/>
          <w:sz w:val="24"/>
          <w:szCs w:val="24"/>
          <w:lang w:val="fr-CI"/>
        </w:rPr>
        <w:lastRenderedPageBreak/>
        <w:t>membres, par l’adoption d’un cadre unique intégré pour la mise en œuvre, le suivi et l’établissement de rapports, ne soient pas contraints par des initiatives parallèles découlant d’initiatives distinctes et disjointes et non coordonnées visant à appuyer l’Agenda 2063 et les ODD. Il importe que tous les partenaires africains soient conscients de cet état de fait et agissent en conséquence, en particulier les partenaires du système des Nations Unies présents au niveau des pays.</w:t>
      </w:r>
    </w:p>
    <w:p w:rsidR="007552BE" w:rsidRPr="004366FD" w:rsidRDefault="007552BE" w:rsidP="00AE2F12">
      <w:pPr>
        <w:spacing w:after="0" w:line="240" w:lineRule="auto"/>
        <w:contextualSpacing/>
        <w:jc w:val="both"/>
        <w:rPr>
          <w:rFonts w:ascii="Arial" w:hAnsi="Arial" w:cs="Arial"/>
          <w:sz w:val="24"/>
          <w:szCs w:val="24"/>
          <w:lang w:val="fr-CI"/>
        </w:rPr>
      </w:pPr>
    </w:p>
    <w:p w:rsidR="00BC1407" w:rsidRPr="004366FD" w:rsidRDefault="007552BE" w:rsidP="00AE2F12">
      <w:pPr>
        <w:spacing w:after="0" w:line="240" w:lineRule="auto"/>
        <w:contextualSpacing/>
        <w:jc w:val="both"/>
        <w:rPr>
          <w:rFonts w:ascii="Arial" w:hAnsi="Arial" w:cs="Arial"/>
          <w:sz w:val="24"/>
          <w:szCs w:val="24"/>
          <w:lang w:val="fr-CI"/>
        </w:rPr>
      </w:pPr>
      <w:r w:rsidRPr="004366FD">
        <w:rPr>
          <w:rFonts w:ascii="Arial" w:hAnsi="Arial" w:cs="Arial"/>
          <w:sz w:val="24"/>
          <w:szCs w:val="24"/>
          <w:lang w:val="fr-CI"/>
        </w:rPr>
        <w:t>Enfin, il est tout aussi important de mentionner que le processus de réforme visant à réorganiser l’Union adopté lors du 27</w:t>
      </w:r>
      <w:r w:rsidRPr="004366FD">
        <w:rPr>
          <w:rFonts w:ascii="Arial" w:hAnsi="Arial" w:cs="Arial"/>
          <w:sz w:val="24"/>
          <w:szCs w:val="24"/>
          <w:vertAlign w:val="superscript"/>
          <w:lang w:val="fr-CI"/>
        </w:rPr>
        <w:t>e</w:t>
      </w:r>
      <w:r w:rsidRPr="004366FD">
        <w:rPr>
          <w:rFonts w:ascii="Arial" w:hAnsi="Arial" w:cs="Arial"/>
          <w:sz w:val="24"/>
          <w:szCs w:val="24"/>
          <w:lang w:val="fr-CI"/>
        </w:rPr>
        <w:t xml:space="preserve"> Sommet de Kigali (Rwanda) tenu en juillet 2016 donnera un élan significatif à la mise en œuvre de l’Agenda 2063 qui permettra de réaliser la vision de l’</w:t>
      </w:r>
      <w:r w:rsidR="004366FD" w:rsidRPr="004366FD">
        <w:rPr>
          <w:rFonts w:ascii="Arial" w:hAnsi="Arial" w:cs="Arial"/>
          <w:sz w:val="24"/>
          <w:szCs w:val="24"/>
          <w:lang w:val="fr-CI"/>
        </w:rPr>
        <w:t>UA</w:t>
      </w:r>
      <w:r w:rsidR="00BC1407" w:rsidRPr="004366FD">
        <w:rPr>
          <w:rFonts w:ascii="Arial" w:hAnsi="Arial" w:cs="Arial"/>
          <w:bCs/>
          <w:sz w:val="24"/>
          <w:szCs w:val="24"/>
          <w:lang w:val="fr-CI"/>
        </w:rPr>
        <w:t xml:space="preserve">. </w:t>
      </w:r>
    </w:p>
    <w:p w:rsidR="00BC1407" w:rsidRPr="004366FD" w:rsidRDefault="00BC1407" w:rsidP="00AE2F12">
      <w:pPr>
        <w:spacing w:after="0" w:line="240" w:lineRule="auto"/>
        <w:contextualSpacing/>
        <w:jc w:val="both"/>
        <w:rPr>
          <w:rFonts w:ascii="Arial" w:hAnsi="Arial" w:cs="Arial"/>
          <w:bCs/>
          <w:sz w:val="24"/>
          <w:szCs w:val="24"/>
          <w:lang w:val="fr-CI"/>
        </w:rPr>
      </w:pPr>
    </w:p>
    <w:p w:rsidR="00CE063F" w:rsidRPr="004366FD" w:rsidRDefault="00CE063F" w:rsidP="00AE2F12">
      <w:pPr>
        <w:spacing w:after="0" w:line="240" w:lineRule="auto"/>
        <w:contextualSpacing/>
        <w:jc w:val="both"/>
        <w:rPr>
          <w:rFonts w:ascii="Arial" w:hAnsi="Arial" w:cs="Arial"/>
          <w:bCs/>
          <w:sz w:val="24"/>
          <w:szCs w:val="24"/>
          <w:lang w:val="fr-CI"/>
        </w:rPr>
      </w:pPr>
    </w:p>
    <w:p w:rsidR="00CE063F" w:rsidRPr="004366FD" w:rsidRDefault="00CE063F" w:rsidP="00AE2F12">
      <w:pPr>
        <w:spacing w:after="0" w:line="240" w:lineRule="auto"/>
        <w:contextualSpacing/>
        <w:jc w:val="both"/>
        <w:rPr>
          <w:rFonts w:ascii="Arial" w:hAnsi="Arial" w:cs="Arial"/>
          <w:bCs/>
          <w:sz w:val="24"/>
          <w:szCs w:val="24"/>
          <w:lang w:val="fr-CI"/>
        </w:rPr>
        <w:sectPr w:rsidR="00CE063F" w:rsidRPr="004366FD" w:rsidSect="004254DD">
          <w:footerReference w:type="default" r:id="rId12"/>
          <w:pgSz w:w="11906" w:h="16838"/>
          <w:pgMar w:top="1440" w:right="1440" w:bottom="1440" w:left="1440" w:header="720" w:footer="720" w:gutter="0"/>
          <w:cols w:space="720"/>
          <w:docGrid w:linePitch="360"/>
        </w:sectPr>
      </w:pPr>
      <w:r w:rsidRPr="004366FD">
        <w:rPr>
          <w:rFonts w:ascii="Arial" w:hAnsi="Arial" w:cs="Arial"/>
          <w:bCs/>
          <w:sz w:val="24"/>
          <w:szCs w:val="24"/>
          <w:lang w:val="fr-CI"/>
        </w:rPr>
        <w:t>.</w:t>
      </w:r>
    </w:p>
    <w:p w:rsidR="00CE063F" w:rsidRPr="004366FD" w:rsidRDefault="00CE063F" w:rsidP="00AE2F12">
      <w:pPr>
        <w:pStyle w:val="BodyText"/>
        <w:ind w:left="-450" w:right="-288" w:firstLine="1170"/>
        <w:contextualSpacing/>
        <w:rPr>
          <w:rFonts w:ascii="Arial" w:hAnsi="Arial" w:cs="Arial"/>
          <w:b/>
          <w:lang w:val="fr-CI"/>
        </w:rPr>
      </w:pPr>
      <w:r w:rsidRPr="004366FD">
        <w:rPr>
          <w:rFonts w:ascii="Arial" w:hAnsi="Arial" w:cs="Arial"/>
          <w:b/>
          <w:lang w:val="fr-CI"/>
        </w:rPr>
        <w:lastRenderedPageBreak/>
        <w:t>Annexe 1</w:t>
      </w:r>
      <w:r w:rsidR="00C81CAD" w:rsidRPr="004366FD">
        <w:rPr>
          <w:rFonts w:ascii="Arial" w:hAnsi="Arial" w:cs="Arial"/>
          <w:b/>
          <w:lang w:val="fr-CI"/>
        </w:rPr>
        <w:t xml:space="preserve"> </w:t>
      </w:r>
      <w:r w:rsidRPr="004366FD">
        <w:rPr>
          <w:rFonts w:ascii="Arial" w:hAnsi="Arial" w:cs="Arial"/>
          <w:b/>
          <w:lang w:val="fr-CI"/>
        </w:rPr>
        <w:t xml:space="preserve">: Rapport </w:t>
      </w:r>
      <w:r w:rsidR="004366FD" w:rsidRPr="004366FD">
        <w:rPr>
          <w:rFonts w:ascii="Arial" w:hAnsi="Arial" w:cs="Arial"/>
          <w:b/>
          <w:lang w:val="fr-CI"/>
        </w:rPr>
        <w:t>sur l</w:t>
      </w:r>
      <w:r w:rsidR="00F174E1" w:rsidRPr="004366FD">
        <w:rPr>
          <w:rFonts w:ascii="Arial" w:hAnsi="Arial" w:cs="Arial"/>
          <w:b/>
          <w:lang w:val="fr-CI"/>
        </w:rPr>
        <w:t>’</w:t>
      </w:r>
      <w:r w:rsidRPr="004366FD">
        <w:rPr>
          <w:rFonts w:ascii="Arial" w:hAnsi="Arial" w:cs="Arial"/>
          <w:b/>
          <w:lang w:val="fr-CI"/>
        </w:rPr>
        <w:t>éta</w:t>
      </w:r>
      <w:r w:rsidR="00C81CAD" w:rsidRPr="004366FD">
        <w:rPr>
          <w:rFonts w:ascii="Arial" w:hAnsi="Arial" w:cs="Arial"/>
          <w:b/>
          <w:lang w:val="fr-CI"/>
        </w:rPr>
        <w:t>t d’avancement des</w:t>
      </w:r>
      <w:r w:rsidRPr="004366FD">
        <w:rPr>
          <w:rFonts w:ascii="Arial" w:hAnsi="Arial" w:cs="Arial"/>
          <w:b/>
          <w:lang w:val="fr-CI"/>
        </w:rPr>
        <w:t xml:space="preserve"> projets phares</w:t>
      </w:r>
    </w:p>
    <w:p w:rsidR="00C81CAD" w:rsidRPr="004366FD" w:rsidRDefault="00C81CAD" w:rsidP="00AE2F12">
      <w:pPr>
        <w:spacing w:after="0" w:line="240" w:lineRule="auto"/>
        <w:contextualSpacing/>
        <w:jc w:val="both"/>
        <w:rPr>
          <w:rFonts w:ascii="Arial" w:hAnsi="Arial" w:cs="Arial"/>
          <w:sz w:val="24"/>
          <w:szCs w:val="24"/>
          <w:lang w:val="fr-CI"/>
        </w:rPr>
      </w:pPr>
    </w:p>
    <w:tbl>
      <w:tblPr>
        <w:tblStyle w:val="TableGrid"/>
        <w:tblW w:w="0" w:type="auto"/>
        <w:tblLook w:val="04A0" w:firstRow="1" w:lastRow="0" w:firstColumn="1" w:lastColumn="0" w:noHBand="0" w:noVBand="1"/>
      </w:tblPr>
      <w:tblGrid>
        <w:gridCol w:w="3011"/>
        <w:gridCol w:w="2369"/>
        <w:gridCol w:w="2555"/>
        <w:gridCol w:w="2509"/>
        <w:gridCol w:w="2506"/>
      </w:tblGrid>
      <w:tr w:rsidR="00E977F6" w:rsidRPr="0026525D" w:rsidTr="0026525D">
        <w:tc>
          <w:tcPr>
            <w:tcW w:w="3114" w:type="dxa"/>
            <w:vAlign w:val="center"/>
          </w:tcPr>
          <w:p w:rsidR="00E977F6" w:rsidRPr="0026525D" w:rsidRDefault="00E977F6" w:rsidP="0026525D">
            <w:pPr>
              <w:contextualSpacing/>
              <w:jc w:val="center"/>
              <w:rPr>
                <w:rFonts w:ascii="Arial" w:hAnsi="Arial" w:cs="Arial"/>
                <w:b/>
                <w:szCs w:val="24"/>
                <w:lang w:val="fr-CI"/>
              </w:rPr>
            </w:pPr>
            <w:r w:rsidRPr="0026525D">
              <w:rPr>
                <w:rFonts w:ascii="Arial" w:hAnsi="Arial" w:cs="Arial"/>
                <w:b/>
                <w:szCs w:val="24"/>
                <w:lang w:val="fr-CI"/>
              </w:rPr>
              <w:t>Projet phare</w:t>
            </w:r>
          </w:p>
        </w:tc>
        <w:tc>
          <w:tcPr>
            <w:tcW w:w="2066" w:type="dxa"/>
            <w:vAlign w:val="center"/>
          </w:tcPr>
          <w:p w:rsidR="00E977F6" w:rsidRPr="0026525D" w:rsidRDefault="00E977F6" w:rsidP="0026525D">
            <w:pPr>
              <w:contextualSpacing/>
              <w:jc w:val="center"/>
              <w:rPr>
                <w:rFonts w:ascii="Arial" w:hAnsi="Arial" w:cs="Arial"/>
                <w:b/>
                <w:szCs w:val="24"/>
                <w:lang w:val="fr-CI"/>
              </w:rPr>
            </w:pPr>
            <w:r w:rsidRPr="0026525D">
              <w:rPr>
                <w:rFonts w:ascii="Arial" w:hAnsi="Arial" w:cs="Arial"/>
                <w:b/>
                <w:szCs w:val="24"/>
                <w:lang w:val="fr-CI"/>
              </w:rPr>
              <w:t>Département de coordination</w:t>
            </w:r>
          </w:p>
        </w:tc>
        <w:tc>
          <w:tcPr>
            <w:tcW w:w="2590" w:type="dxa"/>
            <w:vAlign w:val="center"/>
          </w:tcPr>
          <w:p w:rsidR="00E977F6" w:rsidRPr="0026525D" w:rsidRDefault="00E977F6" w:rsidP="0026525D">
            <w:pPr>
              <w:contextualSpacing/>
              <w:jc w:val="center"/>
              <w:rPr>
                <w:rFonts w:ascii="Arial" w:hAnsi="Arial" w:cs="Arial"/>
                <w:b/>
                <w:szCs w:val="24"/>
                <w:lang w:val="fr-CI"/>
              </w:rPr>
            </w:pPr>
            <w:r w:rsidRPr="0026525D">
              <w:rPr>
                <w:rFonts w:ascii="Arial" w:hAnsi="Arial" w:cs="Arial"/>
                <w:b/>
                <w:szCs w:val="24"/>
                <w:lang w:val="fr-CI"/>
              </w:rPr>
              <w:t>Progrès</w:t>
            </w:r>
          </w:p>
        </w:tc>
        <w:tc>
          <w:tcPr>
            <w:tcW w:w="2590" w:type="dxa"/>
            <w:vAlign w:val="center"/>
          </w:tcPr>
          <w:p w:rsidR="00E977F6" w:rsidRPr="0026525D" w:rsidRDefault="00E977F6" w:rsidP="0026525D">
            <w:pPr>
              <w:contextualSpacing/>
              <w:jc w:val="center"/>
              <w:rPr>
                <w:rFonts w:ascii="Arial" w:hAnsi="Arial" w:cs="Arial"/>
                <w:b/>
                <w:szCs w:val="24"/>
                <w:lang w:val="fr-CI"/>
              </w:rPr>
            </w:pPr>
            <w:r w:rsidRPr="0026525D">
              <w:rPr>
                <w:rFonts w:ascii="Arial" w:hAnsi="Arial" w:cs="Arial"/>
                <w:b/>
                <w:szCs w:val="24"/>
                <w:lang w:val="fr-CI"/>
              </w:rPr>
              <w:t>Problèmes et défis</w:t>
            </w:r>
          </w:p>
        </w:tc>
        <w:tc>
          <w:tcPr>
            <w:tcW w:w="2590" w:type="dxa"/>
            <w:vAlign w:val="center"/>
          </w:tcPr>
          <w:p w:rsidR="00E977F6" w:rsidRPr="0026525D" w:rsidRDefault="00E977F6" w:rsidP="0026525D">
            <w:pPr>
              <w:contextualSpacing/>
              <w:jc w:val="center"/>
              <w:rPr>
                <w:rFonts w:ascii="Arial" w:hAnsi="Arial" w:cs="Arial"/>
                <w:b/>
                <w:szCs w:val="24"/>
                <w:lang w:val="fr-CI"/>
              </w:rPr>
            </w:pPr>
            <w:r w:rsidRPr="0026525D">
              <w:rPr>
                <w:rFonts w:ascii="Arial" w:hAnsi="Arial" w:cs="Arial"/>
                <w:b/>
                <w:szCs w:val="24"/>
                <w:lang w:val="fr-CI"/>
              </w:rPr>
              <w:t>Perspectives</w:t>
            </w:r>
          </w:p>
        </w:tc>
      </w:tr>
      <w:tr w:rsidR="00E977F6" w:rsidRPr="00F05C47" w:rsidTr="00175AF3">
        <w:tc>
          <w:tcPr>
            <w:tcW w:w="3114" w:type="dxa"/>
          </w:tcPr>
          <w:p w:rsidR="00E977F6" w:rsidRPr="0026525D" w:rsidRDefault="00175AF3" w:rsidP="00AE2F12">
            <w:pPr>
              <w:contextualSpacing/>
              <w:jc w:val="both"/>
              <w:rPr>
                <w:rFonts w:ascii="Arial" w:hAnsi="Arial" w:cs="Arial"/>
                <w:szCs w:val="24"/>
                <w:lang w:val="fr-CI"/>
              </w:rPr>
            </w:pPr>
            <w:r w:rsidRPr="0026525D">
              <w:rPr>
                <w:rFonts w:ascii="Arial" w:hAnsi="Arial" w:cs="Arial"/>
                <w:szCs w:val="24"/>
                <w:lang w:val="fr-CI"/>
              </w:rPr>
              <w:t>1. Institutions financières et monétaires continentales</w:t>
            </w:r>
          </w:p>
        </w:tc>
        <w:tc>
          <w:tcPr>
            <w:tcW w:w="2066" w:type="dxa"/>
          </w:tcPr>
          <w:p w:rsidR="00E977F6" w:rsidRPr="0026525D" w:rsidRDefault="00175AF3" w:rsidP="00AE2F12">
            <w:pPr>
              <w:contextualSpacing/>
              <w:jc w:val="both"/>
              <w:rPr>
                <w:rFonts w:ascii="Arial" w:hAnsi="Arial" w:cs="Arial"/>
                <w:szCs w:val="24"/>
                <w:lang w:val="fr-CI"/>
              </w:rPr>
            </w:pPr>
            <w:r w:rsidRPr="0026525D">
              <w:rPr>
                <w:rFonts w:ascii="Arial" w:hAnsi="Arial" w:cs="Arial"/>
                <w:szCs w:val="24"/>
                <w:lang w:val="fr-CI"/>
              </w:rPr>
              <w:t>Département des affaires économiques</w:t>
            </w:r>
          </w:p>
        </w:tc>
        <w:tc>
          <w:tcPr>
            <w:tcW w:w="2590" w:type="dxa"/>
          </w:tcPr>
          <w:p w:rsidR="00E977F6" w:rsidRPr="0026525D" w:rsidRDefault="00175AF3" w:rsidP="00AE2F12">
            <w:pPr>
              <w:contextualSpacing/>
              <w:jc w:val="both"/>
              <w:rPr>
                <w:rFonts w:ascii="Arial" w:hAnsi="Arial" w:cs="Arial"/>
                <w:szCs w:val="24"/>
                <w:lang w:val="fr-CI"/>
              </w:rPr>
            </w:pPr>
            <w:r w:rsidRPr="0026525D">
              <w:rPr>
                <w:rFonts w:ascii="Arial" w:hAnsi="Arial" w:cs="Arial"/>
                <w:b/>
                <w:szCs w:val="24"/>
                <w:lang w:val="fr-CI"/>
              </w:rPr>
              <w:t>Banque centrale africaine</w:t>
            </w:r>
            <w:r w:rsidRPr="0026525D">
              <w:rPr>
                <w:rFonts w:ascii="Arial" w:hAnsi="Arial" w:cs="Arial"/>
                <w:szCs w:val="24"/>
                <w:lang w:val="fr-CI"/>
              </w:rPr>
              <w:t xml:space="preserve"> </w:t>
            </w:r>
            <w:r w:rsidR="00880358" w:rsidRPr="0026525D">
              <w:rPr>
                <w:rFonts w:ascii="Arial" w:hAnsi="Arial" w:cs="Arial"/>
                <w:szCs w:val="24"/>
                <w:lang w:val="fr-CI"/>
              </w:rPr>
              <w:t>–</w:t>
            </w:r>
            <w:r w:rsidRPr="0026525D">
              <w:rPr>
                <w:rFonts w:ascii="Arial" w:hAnsi="Arial" w:cs="Arial"/>
                <w:szCs w:val="24"/>
                <w:lang w:val="fr-CI"/>
              </w:rPr>
              <w:t xml:space="preserve"> Le calendrier convenu dans le cadre de l’Agenda 2063 pour la création de la BCA se situe entre 2028 et 2034. Les préparatifs de la BCA se feront par l’intermédiaire de l’Institut monétaire africain, qui devrait être créé d’ici 2018. La BCA s’appuiera sur la Stratégie conjointe de la Commission de l’Union africaine</w:t>
            </w:r>
            <w:r w:rsidR="00331E1D" w:rsidRPr="0026525D">
              <w:rPr>
                <w:rFonts w:ascii="Arial" w:hAnsi="Arial" w:cs="Arial"/>
                <w:szCs w:val="24"/>
                <w:lang w:val="fr-CI"/>
              </w:rPr>
              <w:t>/</w:t>
            </w:r>
            <w:r w:rsidRPr="0026525D">
              <w:rPr>
                <w:rFonts w:ascii="Arial" w:hAnsi="Arial" w:cs="Arial"/>
                <w:szCs w:val="24"/>
                <w:lang w:val="fr-CI"/>
              </w:rPr>
              <w:t>Association des banques centrales africaines (ABCA) qui a été adoptée par l’Assemblée de l’ABCA en août 2015.</w:t>
            </w:r>
          </w:p>
          <w:p w:rsidR="00880358" w:rsidRPr="0026525D" w:rsidRDefault="00880358" w:rsidP="00AE2F12">
            <w:pPr>
              <w:contextualSpacing/>
              <w:jc w:val="both"/>
              <w:rPr>
                <w:rFonts w:ascii="Arial" w:hAnsi="Arial" w:cs="Arial"/>
                <w:szCs w:val="24"/>
                <w:lang w:val="fr-CI"/>
              </w:rPr>
            </w:pPr>
          </w:p>
          <w:p w:rsidR="00970B8C" w:rsidRPr="0026525D" w:rsidRDefault="00970B8C" w:rsidP="00AE2F12">
            <w:pPr>
              <w:contextualSpacing/>
              <w:jc w:val="both"/>
              <w:rPr>
                <w:rFonts w:ascii="Arial" w:hAnsi="Arial" w:cs="Arial"/>
                <w:szCs w:val="24"/>
                <w:lang w:val="fr-CI"/>
              </w:rPr>
            </w:pPr>
            <w:r w:rsidRPr="0026525D">
              <w:rPr>
                <w:rFonts w:ascii="Arial" w:hAnsi="Arial" w:cs="Arial"/>
                <w:b/>
                <w:szCs w:val="24"/>
                <w:lang w:val="fr-CI"/>
              </w:rPr>
              <w:t>Banque africaine d’investissement</w:t>
            </w:r>
            <w:r w:rsidRPr="0026525D">
              <w:rPr>
                <w:rFonts w:ascii="Arial" w:hAnsi="Arial" w:cs="Arial"/>
                <w:szCs w:val="24"/>
                <w:lang w:val="fr-CI"/>
              </w:rPr>
              <w:t xml:space="preserve"> – La Conférence de l’UA a adopté les Statuts de la BAI lors de son Sommet de février 2009. Au 1</w:t>
            </w:r>
            <w:r w:rsidRPr="0026525D">
              <w:rPr>
                <w:rFonts w:ascii="Arial" w:hAnsi="Arial" w:cs="Arial"/>
                <w:szCs w:val="24"/>
                <w:vertAlign w:val="superscript"/>
                <w:lang w:val="fr-CI"/>
              </w:rPr>
              <w:t>er</w:t>
            </w:r>
            <w:r w:rsidRPr="0026525D">
              <w:rPr>
                <w:rFonts w:ascii="Arial" w:hAnsi="Arial" w:cs="Arial"/>
                <w:szCs w:val="24"/>
                <w:lang w:val="fr-CI"/>
              </w:rPr>
              <w:t xml:space="preserve"> avril 2016, 22 États membres avaient signé le Protocole et trois </w:t>
            </w:r>
            <w:r w:rsidRPr="0026525D">
              <w:rPr>
                <w:rFonts w:ascii="Arial" w:hAnsi="Arial" w:cs="Arial"/>
                <w:szCs w:val="24"/>
                <w:lang w:val="fr-CI"/>
              </w:rPr>
              <w:lastRenderedPageBreak/>
              <w:t xml:space="preserve">l’avaient ratifié. Il s’agit du Bénin, du Congo et de la Libye. Le calendrier convenu dans le cadre de l’Agenda 2063 pour la mise en </w:t>
            </w:r>
            <w:r w:rsidR="004C7DDF" w:rsidRPr="0026525D">
              <w:rPr>
                <w:rFonts w:ascii="Arial" w:hAnsi="Arial" w:cs="Arial"/>
                <w:szCs w:val="24"/>
                <w:lang w:val="fr-CI"/>
              </w:rPr>
              <w:t>œuvre</w:t>
            </w:r>
            <w:r w:rsidRPr="0026525D">
              <w:rPr>
                <w:rFonts w:ascii="Arial" w:hAnsi="Arial" w:cs="Arial"/>
                <w:szCs w:val="24"/>
                <w:lang w:val="fr-CI"/>
              </w:rPr>
              <w:t xml:space="preserve"> effective </w:t>
            </w:r>
            <w:proofErr w:type="gramStart"/>
            <w:r w:rsidRPr="0026525D">
              <w:rPr>
                <w:rFonts w:ascii="Arial" w:hAnsi="Arial" w:cs="Arial"/>
                <w:szCs w:val="24"/>
                <w:lang w:val="fr-CI"/>
              </w:rPr>
              <w:t>de la</w:t>
            </w:r>
            <w:proofErr w:type="gramEnd"/>
            <w:r w:rsidRPr="0026525D">
              <w:rPr>
                <w:rFonts w:ascii="Arial" w:hAnsi="Arial" w:cs="Arial"/>
                <w:szCs w:val="24"/>
                <w:lang w:val="fr-CI"/>
              </w:rPr>
              <w:t xml:space="preserve"> BAI est 2025.</w:t>
            </w:r>
          </w:p>
          <w:p w:rsidR="00880358" w:rsidRPr="0026525D" w:rsidRDefault="00880358" w:rsidP="00AE2F12">
            <w:pPr>
              <w:contextualSpacing/>
              <w:jc w:val="both"/>
              <w:rPr>
                <w:rFonts w:ascii="Arial" w:hAnsi="Arial" w:cs="Arial"/>
                <w:szCs w:val="24"/>
                <w:lang w:val="fr-CI"/>
              </w:rPr>
            </w:pPr>
          </w:p>
          <w:p w:rsidR="004C7DDF" w:rsidRPr="0026525D" w:rsidRDefault="004C7DDF" w:rsidP="00AE2F12">
            <w:pPr>
              <w:contextualSpacing/>
              <w:jc w:val="both"/>
              <w:rPr>
                <w:rFonts w:ascii="Arial" w:hAnsi="Arial" w:cs="Arial"/>
                <w:szCs w:val="24"/>
                <w:lang w:val="fr-CI"/>
              </w:rPr>
            </w:pPr>
            <w:r w:rsidRPr="0026525D">
              <w:rPr>
                <w:rFonts w:ascii="Arial" w:hAnsi="Arial" w:cs="Arial"/>
                <w:b/>
                <w:szCs w:val="24"/>
                <w:lang w:val="fr-CI"/>
              </w:rPr>
              <w:t>Fonds monétaire africain</w:t>
            </w:r>
            <w:r w:rsidRPr="0026525D">
              <w:rPr>
                <w:rFonts w:ascii="Arial" w:hAnsi="Arial" w:cs="Arial"/>
                <w:szCs w:val="24"/>
                <w:lang w:val="fr-CI"/>
              </w:rPr>
              <w:t xml:space="preserve"> - La Conférence de l’UA a adopté le Protocole et les Statuts du FMA lors de son Sommet de juin 2014. Au 1</w:t>
            </w:r>
            <w:r w:rsidRPr="0026525D">
              <w:rPr>
                <w:rFonts w:ascii="Arial" w:hAnsi="Arial" w:cs="Arial"/>
                <w:szCs w:val="24"/>
                <w:vertAlign w:val="superscript"/>
                <w:lang w:val="fr-CI"/>
              </w:rPr>
              <w:t>er</w:t>
            </w:r>
            <w:r w:rsidRPr="0026525D">
              <w:rPr>
                <w:rFonts w:ascii="Arial" w:hAnsi="Arial" w:cs="Arial"/>
                <w:szCs w:val="24"/>
                <w:lang w:val="fr-CI"/>
              </w:rPr>
              <w:t xml:space="preserve"> avril 2016, sept États membres avaient signé le Protocole, à savoir le Bénin, le Tchad, le Congo, la Guinée-Bissau, la Mauritanie, la Sierra Leone et Sao Tomé-et-Principe, et aucun ne l’avait ratifié. Le calendrier convenu dans le cadre de l’Agenda 2063 pour la mise en œuvre effective du FMA est 2023.</w:t>
            </w:r>
          </w:p>
          <w:p w:rsidR="001908D3" w:rsidRPr="0026525D" w:rsidRDefault="001908D3" w:rsidP="00AE2F12">
            <w:pPr>
              <w:contextualSpacing/>
              <w:jc w:val="both"/>
              <w:rPr>
                <w:rFonts w:ascii="Arial" w:hAnsi="Arial" w:cs="Arial"/>
                <w:szCs w:val="24"/>
                <w:lang w:val="fr-CI"/>
              </w:rPr>
            </w:pPr>
          </w:p>
          <w:p w:rsidR="001908D3" w:rsidRPr="0026525D" w:rsidRDefault="00B7552D" w:rsidP="00AE2F12">
            <w:pPr>
              <w:contextualSpacing/>
              <w:jc w:val="both"/>
              <w:rPr>
                <w:rFonts w:ascii="Arial" w:hAnsi="Arial" w:cs="Arial"/>
                <w:szCs w:val="24"/>
                <w:lang w:val="fr-CI"/>
              </w:rPr>
            </w:pPr>
            <w:r w:rsidRPr="0026525D">
              <w:rPr>
                <w:rFonts w:ascii="Arial" w:hAnsi="Arial" w:cs="Arial"/>
                <w:b/>
                <w:szCs w:val="24"/>
                <w:lang w:val="fr-CI"/>
              </w:rPr>
              <w:t>Bourse panafricaine :</w:t>
            </w:r>
            <w:r w:rsidRPr="0026525D">
              <w:rPr>
                <w:rFonts w:ascii="Arial" w:hAnsi="Arial" w:cs="Arial"/>
                <w:szCs w:val="24"/>
                <w:lang w:val="fr-CI"/>
              </w:rPr>
              <w:t xml:space="preserve"> L’étude technique sur la faisabilité de la création d’une bourse panafricaine a été </w:t>
            </w:r>
            <w:r w:rsidRPr="0026525D">
              <w:rPr>
                <w:rFonts w:ascii="Arial" w:hAnsi="Arial" w:cs="Arial"/>
                <w:szCs w:val="24"/>
                <w:lang w:val="fr-CI"/>
              </w:rPr>
              <w:lastRenderedPageBreak/>
              <w:t xml:space="preserve">réalisée par un groupe de consultants indépendant. Les conclusions de l’étude ont été examinées par la Conférence des ministres de l’Économie et des Finances de l’UA qui s’est tenue en mars 2014 à Abuja (Nigeria). La Conférence est convenue de soumettre à nouveau l’étude aux États membres afin d’enregistrer leurs observations. </w:t>
            </w:r>
          </w:p>
        </w:tc>
        <w:tc>
          <w:tcPr>
            <w:tcW w:w="2590" w:type="dxa"/>
          </w:tcPr>
          <w:p w:rsidR="00E977F6" w:rsidRPr="0026525D" w:rsidRDefault="00B7552D" w:rsidP="00AE2F12">
            <w:pPr>
              <w:contextualSpacing/>
              <w:jc w:val="both"/>
              <w:rPr>
                <w:rFonts w:ascii="Arial" w:hAnsi="Arial" w:cs="Arial"/>
                <w:szCs w:val="24"/>
                <w:lang w:val="fr-CI"/>
              </w:rPr>
            </w:pPr>
            <w:r w:rsidRPr="0026525D">
              <w:rPr>
                <w:rFonts w:ascii="Arial" w:hAnsi="Arial" w:cs="Arial"/>
                <w:szCs w:val="24"/>
                <w:lang w:val="fr-CI"/>
              </w:rPr>
              <w:lastRenderedPageBreak/>
              <w:t>La création de l’Institut monétaire africain peut être retardée en raison du retard accusé dans la soumission de la Stratégie à la Conférence de l’UA pour adoption.</w:t>
            </w: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r w:rsidRPr="0026525D">
              <w:rPr>
                <w:rFonts w:ascii="Arial" w:hAnsi="Arial" w:cs="Arial"/>
                <w:szCs w:val="24"/>
                <w:lang w:val="fr-CI"/>
              </w:rPr>
              <w:t>Processus de ratification des instruments juridiques de la BAI et du FMA lent.</w:t>
            </w: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p>
          <w:p w:rsidR="00B7552D" w:rsidRPr="0026525D" w:rsidRDefault="00B7552D" w:rsidP="00AE2F12">
            <w:pPr>
              <w:contextualSpacing/>
              <w:jc w:val="both"/>
              <w:rPr>
                <w:rFonts w:ascii="Arial" w:hAnsi="Arial" w:cs="Arial"/>
                <w:szCs w:val="24"/>
                <w:lang w:val="fr-CI"/>
              </w:rPr>
            </w:pPr>
            <w:r w:rsidRPr="0026525D">
              <w:rPr>
                <w:rFonts w:ascii="Arial" w:hAnsi="Arial" w:cs="Arial"/>
                <w:szCs w:val="24"/>
                <w:lang w:val="fr-CI"/>
              </w:rPr>
              <w:lastRenderedPageBreak/>
              <w:t xml:space="preserve">Les États membres sont </w:t>
            </w:r>
            <w:r w:rsidR="00BB3DC0" w:rsidRPr="0026525D">
              <w:rPr>
                <w:rFonts w:ascii="Arial" w:hAnsi="Arial" w:cs="Arial"/>
                <w:szCs w:val="24"/>
                <w:lang w:val="fr-CI"/>
              </w:rPr>
              <w:t>peu disposés</w:t>
            </w:r>
            <w:r w:rsidRPr="0026525D">
              <w:rPr>
                <w:rFonts w:ascii="Arial" w:hAnsi="Arial" w:cs="Arial"/>
                <w:szCs w:val="24"/>
                <w:lang w:val="fr-CI"/>
              </w:rPr>
              <w:t xml:space="preserve"> à formuler d’autres observations.</w:t>
            </w:r>
          </w:p>
        </w:tc>
        <w:tc>
          <w:tcPr>
            <w:tcW w:w="2590" w:type="dxa"/>
          </w:tcPr>
          <w:p w:rsidR="00BB3DC0" w:rsidRPr="0026525D" w:rsidRDefault="00BB3DC0" w:rsidP="00AE2F12">
            <w:pPr>
              <w:contextualSpacing/>
              <w:jc w:val="both"/>
              <w:rPr>
                <w:rFonts w:ascii="Arial" w:hAnsi="Arial" w:cs="Arial"/>
                <w:szCs w:val="24"/>
                <w:lang w:val="fr-CI"/>
              </w:rPr>
            </w:pPr>
            <w:r w:rsidRPr="0026525D">
              <w:rPr>
                <w:rFonts w:ascii="Arial" w:hAnsi="Arial" w:cs="Arial"/>
                <w:szCs w:val="24"/>
                <w:lang w:val="fr-CI"/>
              </w:rPr>
              <w:lastRenderedPageBreak/>
              <w:t>La Stratégie sera soumise à la Conférence de l’UA pour adoption en janvier 2017.</w:t>
            </w:r>
          </w:p>
          <w:p w:rsidR="00BB3DC0" w:rsidRPr="0026525D" w:rsidRDefault="00BB3DC0" w:rsidP="00AE2F12">
            <w:pPr>
              <w:contextualSpacing/>
              <w:jc w:val="both"/>
              <w:rPr>
                <w:rFonts w:ascii="Arial" w:hAnsi="Arial" w:cs="Arial"/>
                <w:szCs w:val="24"/>
                <w:lang w:val="fr-CI"/>
              </w:rPr>
            </w:pPr>
          </w:p>
          <w:p w:rsidR="00E977F6" w:rsidRPr="0026525D" w:rsidRDefault="00E977F6"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r w:rsidRPr="0026525D">
              <w:rPr>
                <w:rFonts w:ascii="Arial" w:hAnsi="Arial" w:cs="Arial"/>
                <w:szCs w:val="24"/>
                <w:lang w:val="fr-CI"/>
              </w:rPr>
              <w:t>Le plaidoyer pour la signature et la ratification des instruments juridiques doit être engagé par la Commission.</w:t>
            </w: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p>
          <w:p w:rsidR="00BB3DC0" w:rsidRPr="0026525D" w:rsidRDefault="00BB3DC0" w:rsidP="00AE2F12">
            <w:pPr>
              <w:contextualSpacing/>
              <w:jc w:val="both"/>
              <w:rPr>
                <w:rFonts w:ascii="Arial" w:hAnsi="Arial" w:cs="Arial"/>
                <w:szCs w:val="24"/>
                <w:lang w:val="fr-CI"/>
              </w:rPr>
            </w:pPr>
            <w:r w:rsidRPr="0026525D">
              <w:rPr>
                <w:rFonts w:ascii="Arial" w:hAnsi="Arial" w:cs="Arial"/>
                <w:szCs w:val="24"/>
                <w:lang w:val="fr-CI"/>
              </w:rPr>
              <w:lastRenderedPageBreak/>
              <w:t>L’étude sera soumise à nouveau pour observations, puis soumise au CTS sur les finances, les affaires monétaires, la planification et l’intégration économiques en mars 2017.</w:t>
            </w:r>
          </w:p>
          <w:p w:rsidR="00BB3DC0" w:rsidRPr="0026525D" w:rsidRDefault="00BB3DC0" w:rsidP="00AE2F12">
            <w:pPr>
              <w:contextualSpacing/>
              <w:jc w:val="both"/>
              <w:rPr>
                <w:rFonts w:ascii="Arial" w:hAnsi="Arial" w:cs="Arial"/>
                <w:szCs w:val="24"/>
                <w:lang w:val="fr-CI"/>
              </w:rPr>
            </w:pPr>
          </w:p>
        </w:tc>
      </w:tr>
      <w:tr w:rsidR="00E977F6" w:rsidRPr="00F05C47" w:rsidTr="00175AF3">
        <w:tc>
          <w:tcPr>
            <w:tcW w:w="3114" w:type="dxa"/>
          </w:tcPr>
          <w:p w:rsidR="00E977F6" w:rsidRPr="0026525D" w:rsidRDefault="00E977F6" w:rsidP="00AE2F12">
            <w:pPr>
              <w:contextualSpacing/>
              <w:jc w:val="both"/>
              <w:rPr>
                <w:rFonts w:ascii="Arial" w:hAnsi="Arial" w:cs="Arial"/>
                <w:szCs w:val="24"/>
                <w:lang w:val="fr-CI"/>
              </w:rPr>
            </w:pPr>
          </w:p>
        </w:tc>
        <w:tc>
          <w:tcPr>
            <w:tcW w:w="2066" w:type="dxa"/>
          </w:tcPr>
          <w:p w:rsidR="00E977F6" w:rsidRPr="0026525D" w:rsidRDefault="00E977F6" w:rsidP="00AE2F12">
            <w:pPr>
              <w:contextualSpacing/>
              <w:jc w:val="both"/>
              <w:rPr>
                <w:rFonts w:ascii="Arial" w:hAnsi="Arial" w:cs="Arial"/>
                <w:szCs w:val="24"/>
                <w:lang w:val="fr-CI"/>
              </w:rPr>
            </w:pPr>
          </w:p>
        </w:tc>
        <w:tc>
          <w:tcPr>
            <w:tcW w:w="2590" w:type="dxa"/>
          </w:tcPr>
          <w:p w:rsidR="00E977F6" w:rsidRPr="0026525D" w:rsidRDefault="00E977F6" w:rsidP="00AE2F12">
            <w:pPr>
              <w:contextualSpacing/>
              <w:jc w:val="both"/>
              <w:rPr>
                <w:rFonts w:ascii="Arial" w:hAnsi="Arial" w:cs="Arial"/>
                <w:szCs w:val="24"/>
                <w:lang w:val="fr-CI"/>
              </w:rPr>
            </w:pPr>
          </w:p>
        </w:tc>
        <w:tc>
          <w:tcPr>
            <w:tcW w:w="2590" w:type="dxa"/>
          </w:tcPr>
          <w:p w:rsidR="00E977F6" w:rsidRPr="0026525D" w:rsidRDefault="00E977F6" w:rsidP="00AE2F12">
            <w:pPr>
              <w:contextualSpacing/>
              <w:jc w:val="both"/>
              <w:rPr>
                <w:rFonts w:ascii="Arial" w:hAnsi="Arial" w:cs="Arial"/>
                <w:szCs w:val="24"/>
                <w:lang w:val="fr-CI"/>
              </w:rPr>
            </w:pPr>
          </w:p>
        </w:tc>
        <w:tc>
          <w:tcPr>
            <w:tcW w:w="2590" w:type="dxa"/>
          </w:tcPr>
          <w:p w:rsidR="00E977F6" w:rsidRPr="0026525D" w:rsidRDefault="00E977F6" w:rsidP="00AE2F12">
            <w:pPr>
              <w:contextualSpacing/>
              <w:jc w:val="both"/>
              <w:rPr>
                <w:rFonts w:ascii="Arial" w:hAnsi="Arial" w:cs="Arial"/>
                <w:szCs w:val="24"/>
                <w:lang w:val="fr-CI"/>
              </w:rPr>
            </w:pPr>
          </w:p>
        </w:tc>
      </w:tr>
      <w:tr w:rsidR="0086645E" w:rsidRPr="00F05C47" w:rsidTr="00175AF3">
        <w:tc>
          <w:tcPr>
            <w:tcW w:w="3114" w:type="dxa"/>
          </w:tcPr>
          <w:p w:rsidR="0086645E" w:rsidRPr="0026525D" w:rsidRDefault="0086645E" w:rsidP="00AE2F12">
            <w:pPr>
              <w:contextualSpacing/>
              <w:jc w:val="both"/>
              <w:rPr>
                <w:rFonts w:ascii="Arial" w:hAnsi="Arial" w:cs="Arial"/>
                <w:szCs w:val="24"/>
                <w:lang w:val="fr-CI"/>
              </w:rPr>
            </w:pPr>
            <w:r w:rsidRPr="0026525D">
              <w:rPr>
                <w:rFonts w:ascii="Arial" w:hAnsi="Arial" w:cs="Arial"/>
                <w:szCs w:val="24"/>
                <w:lang w:val="fr-CI"/>
              </w:rPr>
              <w:t>2. Faire taire des armes à feu d’ici 2020</w:t>
            </w:r>
          </w:p>
        </w:tc>
        <w:tc>
          <w:tcPr>
            <w:tcW w:w="2066" w:type="dxa"/>
          </w:tcPr>
          <w:p w:rsidR="0086645E" w:rsidRPr="0026525D" w:rsidRDefault="0086645E" w:rsidP="00AE2F12">
            <w:pPr>
              <w:contextualSpacing/>
              <w:jc w:val="both"/>
              <w:rPr>
                <w:rFonts w:ascii="Arial" w:hAnsi="Arial" w:cs="Arial"/>
                <w:szCs w:val="24"/>
                <w:lang w:val="fr-CI"/>
              </w:rPr>
            </w:pPr>
            <w:r w:rsidRPr="0026525D">
              <w:rPr>
                <w:rFonts w:ascii="Arial" w:hAnsi="Arial" w:cs="Arial"/>
                <w:szCs w:val="24"/>
                <w:lang w:val="fr-CI"/>
              </w:rPr>
              <w:t>Département de paix et de sécurité</w:t>
            </w:r>
          </w:p>
        </w:tc>
        <w:tc>
          <w:tcPr>
            <w:tcW w:w="2590" w:type="dxa"/>
          </w:tcPr>
          <w:p w:rsidR="0086645E" w:rsidRPr="0026525D" w:rsidRDefault="0086645E" w:rsidP="00AE2F12">
            <w:pPr>
              <w:contextualSpacing/>
              <w:jc w:val="both"/>
              <w:rPr>
                <w:rFonts w:ascii="Arial" w:hAnsi="Arial" w:cs="Arial"/>
                <w:szCs w:val="24"/>
                <w:lang w:val="fr-CI"/>
              </w:rPr>
            </w:pPr>
            <w:r w:rsidRPr="0026525D">
              <w:rPr>
                <w:rFonts w:ascii="Arial" w:hAnsi="Arial" w:cs="Arial"/>
                <w:szCs w:val="24"/>
                <w:lang w:val="fr-CI"/>
              </w:rPr>
              <w:t>La feuille de route pour la réalisation de ce projet phare, qui avait été préparée plus tôt sous la forme de la feuille de route de l’APSA 2016-2020, a été validée par le Conseil de paix et de sécurité lors de sa retraite qui a eu lieu du 7 au 9 novembre 2016 à Lusaka (Zambie).</w:t>
            </w:r>
          </w:p>
        </w:tc>
        <w:tc>
          <w:tcPr>
            <w:tcW w:w="2590" w:type="dxa"/>
          </w:tcPr>
          <w:p w:rsidR="0086645E" w:rsidRPr="0026525D" w:rsidRDefault="0086645E" w:rsidP="00AE2F12">
            <w:pPr>
              <w:contextualSpacing/>
              <w:jc w:val="both"/>
              <w:rPr>
                <w:rFonts w:ascii="Arial" w:hAnsi="Arial" w:cs="Arial"/>
                <w:szCs w:val="24"/>
                <w:lang w:val="fr-CI"/>
              </w:rPr>
            </w:pPr>
            <w:r w:rsidRPr="0026525D">
              <w:rPr>
                <w:rFonts w:ascii="Arial" w:hAnsi="Arial" w:cs="Arial"/>
                <w:szCs w:val="24"/>
                <w:lang w:val="fr-CI"/>
              </w:rPr>
              <w:t>La feuille doit maintenant être examinée par les organes délibérants.</w:t>
            </w:r>
          </w:p>
        </w:tc>
        <w:tc>
          <w:tcPr>
            <w:tcW w:w="2590" w:type="dxa"/>
          </w:tcPr>
          <w:p w:rsidR="0086645E" w:rsidRPr="0026525D" w:rsidRDefault="0086645E" w:rsidP="00AE2F12">
            <w:pPr>
              <w:contextualSpacing/>
              <w:jc w:val="both"/>
              <w:rPr>
                <w:rFonts w:ascii="Arial" w:hAnsi="Arial" w:cs="Arial"/>
                <w:szCs w:val="24"/>
                <w:lang w:val="fr-CI"/>
              </w:rPr>
            </w:pPr>
            <w:r w:rsidRPr="0026525D">
              <w:rPr>
                <w:rFonts w:ascii="Arial" w:hAnsi="Arial" w:cs="Arial"/>
                <w:szCs w:val="24"/>
                <w:lang w:val="fr-CI"/>
              </w:rPr>
              <w:t>Elle sera soumise à la Conférence de l’UA en janvier 2017 pour examen et approbation.</w:t>
            </w:r>
          </w:p>
        </w:tc>
      </w:tr>
      <w:tr w:rsidR="0086645E" w:rsidRPr="00F05C47" w:rsidTr="00175AF3">
        <w:tc>
          <w:tcPr>
            <w:tcW w:w="3114" w:type="dxa"/>
          </w:tcPr>
          <w:p w:rsidR="0086645E" w:rsidRPr="0026525D" w:rsidRDefault="0086645E" w:rsidP="00AE2F12">
            <w:pPr>
              <w:contextualSpacing/>
              <w:jc w:val="both"/>
              <w:rPr>
                <w:rFonts w:ascii="Arial" w:hAnsi="Arial" w:cs="Arial"/>
                <w:szCs w:val="24"/>
                <w:lang w:val="fr-CI"/>
              </w:rPr>
            </w:pPr>
          </w:p>
        </w:tc>
        <w:tc>
          <w:tcPr>
            <w:tcW w:w="2066" w:type="dxa"/>
          </w:tcPr>
          <w:p w:rsidR="0086645E" w:rsidRPr="0026525D" w:rsidRDefault="0086645E" w:rsidP="00AE2F12">
            <w:pPr>
              <w:contextualSpacing/>
              <w:jc w:val="both"/>
              <w:rPr>
                <w:rFonts w:ascii="Arial" w:hAnsi="Arial" w:cs="Arial"/>
                <w:szCs w:val="24"/>
                <w:lang w:val="fr-CI"/>
              </w:rPr>
            </w:pPr>
          </w:p>
        </w:tc>
        <w:tc>
          <w:tcPr>
            <w:tcW w:w="2590" w:type="dxa"/>
          </w:tcPr>
          <w:p w:rsidR="0086645E" w:rsidRPr="0026525D" w:rsidRDefault="0086645E" w:rsidP="00AE2F12">
            <w:pPr>
              <w:contextualSpacing/>
              <w:jc w:val="both"/>
              <w:rPr>
                <w:rFonts w:ascii="Arial" w:hAnsi="Arial" w:cs="Arial"/>
                <w:szCs w:val="24"/>
                <w:lang w:val="fr-CI"/>
              </w:rPr>
            </w:pPr>
          </w:p>
        </w:tc>
        <w:tc>
          <w:tcPr>
            <w:tcW w:w="2590" w:type="dxa"/>
          </w:tcPr>
          <w:p w:rsidR="0086645E" w:rsidRPr="0026525D" w:rsidRDefault="0086645E" w:rsidP="00AE2F12">
            <w:pPr>
              <w:contextualSpacing/>
              <w:jc w:val="both"/>
              <w:rPr>
                <w:rFonts w:ascii="Arial" w:hAnsi="Arial" w:cs="Arial"/>
                <w:szCs w:val="24"/>
                <w:lang w:val="fr-CI"/>
              </w:rPr>
            </w:pPr>
          </w:p>
        </w:tc>
        <w:tc>
          <w:tcPr>
            <w:tcW w:w="2590" w:type="dxa"/>
          </w:tcPr>
          <w:p w:rsidR="0086645E" w:rsidRPr="0026525D" w:rsidRDefault="0086645E" w:rsidP="00AE2F12">
            <w:pPr>
              <w:contextualSpacing/>
              <w:jc w:val="both"/>
              <w:rPr>
                <w:rFonts w:ascii="Arial" w:hAnsi="Arial" w:cs="Arial"/>
                <w:szCs w:val="24"/>
                <w:lang w:val="fr-CI"/>
              </w:rPr>
            </w:pPr>
          </w:p>
        </w:tc>
      </w:tr>
      <w:tr w:rsidR="0086645E" w:rsidRPr="00F05C47" w:rsidTr="00175AF3">
        <w:tc>
          <w:tcPr>
            <w:tcW w:w="3114" w:type="dxa"/>
          </w:tcPr>
          <w:p w:rsidR="0086645E" w:rsidRPr="0026525D" w:rsidRDefault="0086645E" w:rsidP="00AE2F12">
            <w:pPr>
              <w:contextualSpacing/>
              <w:jc w:val="both"/>
              <w:rPr>
                <w:rFonts w:ascii="Arial" w:hAnsi="Arial" w:cs="Arial"/>
                <w:szCs w:val="24"/>
                <w:lang w:val="fr-CI"/>
              </w:rPr>
            </w:pPr>
            <w:r w:rsidRPr="0026525D">
              <w:rPr>
                <w:rFonts w:ascii="Arial" w:hAnsi="Arial" w:cs="Arial"/>
                <w:szCs w:val="24"/>
                <w:lang w:val="fr-CI"/>
              </w:rPr>
              <w:t>3. Stratégie africaine sur les produits de base</w:t>
            </w:r>
          </w:p>
        </w:tc>
        <w:tc>
          <w:tcPr>
            <w:tcW w:w="2066" w:type="dxa"/>
          </w:tcPr>
          <w:p w:rsidR="0086645E" w:rsidRPr="0026525D" w:rsidRDefault="0086645E" w:rsidP="00AE2F12">
            <w:pPr>
              <w:contextualSpacing/>
              <w:jc w:val="both"/>
              <w:rPr>
                <w:rFonts w:ascii="Arial" w:hAnsi="Arial" w:cs="Arial"/>
                <w:szCs w:val="24"/>
                <w:lang w:val="fr-CI"/>
              </w:rPr>
            </w:pPr>
            <w:r w:rsidRPr="0026525D">
              <w:rPr>
                <w:rFonts w:ascii="Arial" w:hAnsi="Arial" w:cs="Arial"/>
                <w:szCs w:val="24"/>
                <w:lang w:val="fr-CI"/>
              </w:rPr>
              <w:t>Département du commerce et de l’industrie</w:t>
            </w:r>
          </w:p>
        </w:tc>
        <w:tc>
          <w:tcPr>
            <w:tcW w:w="2590" w:type="dxa"/>
          </w:tcPr>
          <w:p w:rsidR="0086645E" w:rsidRPr="0026525D" w:rsidRDefault="00B77039" w:rsidP="00AE2F12">
            <w:pPr>
              <w:contextualSpacing/>
              <w:jc w:val="both"/>
              <w:rPr>
                <w:rFonts w:ascii="Arial" w:hAnsi="Arial" w:cs="Arial"/>
                <w:szCs w:val="24"/>
                <w:lang w:val="fr-CI"/>
              </w:rPr>
            </w:pPr>
            <w:r w:rsidRPr="0026525D">
              <w:rPr>
                <w:rFonts w:ascii="Arial" w:hAnsi="Arial" w:cs="Arial"/>
                <w:szCs w:val="24"/>
                <w:lang w:val="fr-CI"/>
              </w:rPr>
              <w:t xml:space="preserve">Le projet de stratégie de l’Union africaine sur les produits de base a été adopté par le Comité technique spécialisé sur </w:t>
            </w:r>
            <w:r w:rsidRPr="0026525D">
              <w:rPr>
                <w:rFonts w:ascii="Arial" w:hAnsi="Arial" w:cs="Arial"/>
                <w:szCs w:val="24"/>
                <w:lang w:val="fr-CI"/>
              </w:rPr>
              <w:lastRenderedPageBreak/>
              <w:t>le commerce et l’industrie et les ressources minérales.</w:t>
            </w:r>
          </w:p>
        </w:tc>
        <w:tc>
          <w:tcPr>
            <w:tcW w:w="2590" w:type="dxa"/>
          </w:tcPr>
          <w:p w:rsidR="0086645E" w:rsidRPr="0026525D" w:rsidRDefault="00B77039" w:rsidP="00AE2F12">
            <w:pPr>
              <w:contextualSpacing/>
              <w:jc w:val="both"/>
              <w:rPr>
                <w:rFonts w:ascii="Arial" w:hAnsi="Arial" w:cs="Arial"/>
                <w:szCs w:val="24"/>
                <w:lang w:val="fr-CI"/>
              </w:rPr>
            </w:pPr>
            <w:r w:rsidRPr="0026525D">
              <w:rPr>
                <w:rFonts w:ascii="Arial" w:hAnsi="Arial" w:cs="Arial"/>
                <w:szCs w:val="24"/>
                <w:lang w:val="fr-CI"/>
              </w:rPr>
              <w:lastRenderedPageBreak/>
              <w:t xml:space="preserve">Il n’attend plus que l’approbation définitive des organes délibérants de l’UA et </w:t>
            </w:r>
            <w:r w:rsidRPr="0026525D">
              <w:rPr>
                <w:rFonts w:ascii="Arial" w:hAnsi="Arial" w:cs="Arial"/>
                <w:szCs w:val="24"/>
                <w:lang w:val="fr-CI"/>
              </w:rPr>
              <w:lastRenderedPageBreak/>
              <w:t>d’être assorti d’un Plan d’action.</w:t>
            </w:r>
          </w:p>
        </w:tc>
        <w:tc>
          <w:tcPr>
            <w:tcW w:w="2590" w:type="dxa"/>
          </w:tcPr>
          <w:p w:rsidR="00975E34" w:rsidRPr="0026525D" w:rsidRDefault="00975E34" w:rsidP="00AE2F12">
            <w:pPr>
              <w:contextualSpacing/>
              <w:jc w:val="both"/>
              <w:rPr>
                <w:rFonts w:ascii="Arial" w:hAnsi="Arial" w:cs="Arial"/>
                <w:szCs w:val="24"/>
                <w:lang w:val="fr-CI"/>
              </w:rPr>
            </w:pPr>
            <w:r w:rsidRPr="0026525D">
              <w:rPr>
                <w:rFonts w:ascii="Arial" w:hAnsi="Arial" w:cs="Arial"/>
                <w:szCs w:val="24"/>
                <w:lang w:val="fr-CI"/>
              </w:rPr>
              <w:lastRenderedPageBreak/>
              <w:t>Il sera finalement soumis aux organes délibérants de l’UA en janvier 2017.</w:t>
            </w:r>
          </w:p>
          <w:p w:rsidR="00975E34" w:rsidRPr="0026525D" w:rsidRDefault="00975E34" w:rsidP="00AE2F12">
            <w:pPr>
              <w:contextualSpacing/>
              <w:jc w:val="both"/>
              <w:rPr>
                <w:rFonts w:ascii="Arial" w:hAnsi="Arial" w:cs="Arial"/>
                <w:szCs w:val="24"/>
                <w:lang w:val="fr-CI"/>
              </w:rPr>
            </w:pPr>
            <w:r w:rsidRPr="0026525D">
              <w:rPr>
                <w:rFonts w:ascii="Arial" w:hAnsi="Arial" w:cs="Arial"/>
                <w:szCs w:val="24"/>
                <w:lang w:val="fr-CI"/>
              </w:rPr>
              <w:lastRenderedPageBreak/>
              <w:t>La prochaine activité sera l’élaboration d’un plan d’action.</w:t>
            </w:r>
          </w:p>
          <w:p w:rsidR="0086645E" w:rsidRPr="0026525D" w:rsidRDefault="0086645E" w:rsidP="00AE2F12">
            <w:pPr>
              <w:contextualSpacing/>
              <w:jc w:val="both"/>
              <w:rPr>
                <w:rFonts w:ascii="Arial" w:hAnsi="Arial" w:cs="Arial"/>
                <w:szCs w:val="24"/>
                <w:lang w:val="fr-CI"/>
              </w:rPr>
            </w:pPr>
          </w:p>
        </w:tc>
      </w:tr>
      <w:tr w:rsidR="0086645E" w:rsidRPr="00F05C47" w:rsidTr="00175AF3">
        <w:tc>
          <w:tcPr>
            <w:tcW w:w="3114" w:type="dxa"/>
          </w:tcPr>
          <w:p w:rsidR="0086645E" w:rsidRPr="0026525D" w:rsidRDefault="0086645E" w:rsidP="00AE2F12">
            <w:pPr>
              <w:contextualSpacing/>
              <w:jc w:val="both"/>
              <w:rPr>
                <w:rFonts w:ascii="Arial" w:hAnsi="Arial" w:cs="Arial"/>
                <w:szCs w:val="24"/>
                <w:lang w:val="fr-CI"/>
              </w:rPr>
            </w:pPr>
          </w:p>
        </w:tc>
        <w:tc>
          <w:tcPr>
            <w:tcW w:w="2066" w:type="dxa"/>
          </w:tcPr>
          <w:p w:rsidR="0086645E" w:rsidRPr="0026525D" w:rsidRDefault="0086645E" w:rsidP="00AE2F12">
            <w:pPr>
              <w:contextualSpacing/>
              <w:jc w:val="both"/>
              <w:rPr>
                <w:rFonts w:ascii="Arial" w:hAnsi="Arial" w:cs="Arial"/>
                <w:szCs w:val="24"/>
                <w:lang w:val="fr-CI"/>
              </w:rPr>
            </w:pPr>
          </w:p>
        </w:tc>
        <w:tc>
          <w:tcPr>
            <w:tcW w:w="2590" w:type="dxa"/>
          </w:tcPr>
          <w:p w:rsidR="0086645E" w:rsidRPr="0026525D" w:rsidRDefault="0086645E" w:rsidP="00AE2F12">
            <w:pPr>
              <w:contextualSpacing/>
              <w:jc w:val="both"/>
              <w:rPr>
                <w:rFonts w:ascii="Arial" w:hAnsi="Arial" w:cs="Arial"/>
                <w:szCs w:val="24"/>
                <w:lang w:val="fr-CI"/>
              </w:rPr>
            </w:pPr>
          </w:p>
        </w:tc>
        <w:tc>
          <w:tcPr>
            <w:tcW w:w="2590" w:type="dxa"/>
          </w:tcPr>
          <w:p w:rsidR="0086645E" w:rsidRPr="0026525D" w:rsidRDefault="0086645E" w:rsidP="00AE2F12">
            <w:pPr>
              <w:contextualSpacing/>
              <w:jc w:val="both"/>
              <w:rPr>
                <w:rFonts w:ascii="Arial" w:hAnsi="Arial" w:cs="Arial"/>
                <w:szCs w:val="24"/>
                <w:lang w:val="fr-CI"/>
              </w:rPr>
            </w:pPr>
          </w:p>
        </w:tc>
        <w:tc>
          <w:tcPr>
            <w:tcW w:w="2590" w:type="dxa"/>
          </w:tcPr>
          <w:p w:rsidR="0086645E" w:rsidRPr="0026525D" w:rsidRDefault="0086645E" w:rsidP="00AE2F12">
            <w:pPr>
              <w:contextualSpacing/>
              <w:jc w:val="both"/>
              <w:rPr>
                <w:rFonts w:ascii="Arial" w:hAnsi="Arial" w:cs="Arial"/>
                <w:szCs w:val="24"/>
                <w:lang w:val="fr-CI"/>
              </w:rPr>
            </w:pPr>
          </w:p>
        </w:tc>
      </w:tr>
      <w:tr w:rsidR="00975E34" w:rsidRPr="00F05C47" w:rsidTr="00175AF3">
        <w:tc>
          <w:tcPr>
            <w:tcW w:w="3114" w:type="dxa"/>
          </w:tcPr>
          <w:p w:rsidR="00975E34" w:rsidRPr="0026525D" w:rsidRDefault="00975E34" w:rsidP="00AE2F12">
            <w:pPr>
              <w:contextualSpacing/>
              <w:jc w:val="both"/>
              <w:rPr>
                <w:rFonts w:ascii="Arial" w:hAnsi="Arial" w:cs="Arial"/>
                <w:szCs w:val="24"/>
                <w:lang w:val="fr-CI"/>
              </w:rPr>
            </w:pPr>
            <w:r w:rsidRPr="0026525D">
              <w:rPr>
                <w:rFonts w:ascii="Arial" w:hAnsi="Arial" w:cs="Arial"/>
                <w:szCs w:val="24"/>
                <w:lang w:val="fr-CI"/>
              </w:rPr>
              <w:t>4. Plate</w:t>
            </w:r>
            <w:r w:rsidR="00BF6120" w:rsidRPr="0026525D">
              <w:rPr>
                <w:rFonts w:ascii="Arial" w:hAnsi="Arial" w:cs="Arial"/>
                <w:szCs w:val="24"/>
                <w:lang w:val="fr-CI"/>
              </w:rPr>
              <w:t>-</w:t>
            </w:r>
            <w:r w:rsidRPr="0026525D">
              <w:rPr>
                <w:rFonts w:ascii="Arial" w:hAnsi="Arial" w:cs="Arial"/>
                <w:szCs w:val="24"/>
                <w:lang w:val="fr-CI"/>
              </w:rPr>
              <w:t>forme annuelle africaine de dialogue économique</w:t>
            </w:r>
            <w:r w:rsidR="00331E1D" w:rsidRPr="0026525D">
              <w:rPr>
                <w:rFonts w:ascii="Arial" w:hAnsi="Arial" w:cs="Arial"/>
                <w:szCs w:val="24"/>
                <w:lang w:val="fr-CI"/>
              </w:rPr>
              <w:t>/</w:t>
            </w:r>
            <w:r w:rsidRPr="0026525D">
              <w:rPr>
                <w:rFonts w:ascii="Arial" w:hAnsi="Arial" w:cs="Arial"/>
                <w:szCs w:val="24"/>
                <w:lang w:val="fr-CI"/>
              </w:rPr>
              <w:t>Plate-forme économique africaine</w:t>
            </w:r>
          </w:p>
          <w:p w:rsidR="00975E34" w:rsidRPr="0026525D" w:rsidRDefault="00975E34" w:rsidP="00AE2F12">
            <w:pPr>
              <w:contextualSpacing/>
              <w:jc w:val="both"/>
              <w:rPr>
                <w:rFonts w:ascii="Arial" w:hAnsi="Arial" w:cs="Arial"/>
                <w:szCs w:val="24"/>
                <w:lang w:val="fr-CI"/>
              </w:rPr>
            </w:pPr>
          </w:p>
        </w:tc>
        <w:tc>
          <w:tcPr>
            <w:tcW w:w="2066" w:type="dxa"/>
          </w:tcPr>
          <w:p w:rsidR="00975E34" w:rsidRPr="0026525D" w:rsidRDefault="00975E34" w:rsidP="00AE2F12">
            <w:pPr>
              <w:contextualSpacing/>
              <w:jc w:val="both"/>
              <w:rPr>
                <w:rFonts w:ascii="Arial" w:hAnsi="Arial" w:cs="Arial"/>
                <w:szCs w:val="24"/>
                <w:lang w:val="fr-CI"/>
              </w:rPr>
            </w:pPr>
            <w:r w:rsidRPr="0026525D">
              <w:rPr>
                <w:rFonts w:ascii="Arial" w:hAnsi="Arial" w:cs="Arial"/>
                <w:szCs w:val="24"/>
                <w:lang w:val="fr-CI"/>
              </w:rPr>
              <w:t>Bureau du vice-président</w:t>
            </w:r>
            <w:r w:rsidR="00331E1D" w:rsidRPr="0026525D">
              <w:rPr>
                <w:rFonts w:ascii="Arial" w:hAnsi="Arial" w:cs="Arial"/>
                <w:szCs w:val="24"/>
                <w:lang w:val="fr-CI"/>
              </w:rPr>
              <w:t>/</w:t>
            </w:r>
            <w:r w:rsidRPr="0026525D">
              <w:rPr>
                <w:rFonts w:ascii="Arial" w:hAnsi="Arial" w:cs="Arial"/>
                <w:szCs w:val="24"/>
                <w:lang w:val="fr-CI"/>
              </w:rPr>
              <w:t>Planification stratégique (SPPMERM)</w:t>
            </w:r>
          </w:p>
        </w:tc>
        <w:tc>
          <w:tcPr>
            <w:tcW w:w="2590" w:type="dxa"/>
          </w:tcPr>
          <w:p w:rsidR="00975E34" w:rsidRPr="0026525D" w:rsidRDefault="00975E34" w:rsidP="00AE2F12">
            <w:pPr>
              <w:contextualSpacing/>
              <w:jc w:val="both"/>
              <w:rPr>
                <w:rFonts w:ascii="Arial" w:hAnsi="Arial" w:cs="Arial"/>
                <w:szCs w:val="24"/>
                <w:lang w:val="fr-CI"/>
              </w:rPr>
            </w:pPr>
            <w:r w:rsidRPr="0026525D">
              <w:rPr>
                <w:rFonts w:ascii="Arial" w:hAnsi="Arial" w:cs="Arial"/>
                <w:szCs w:val="24"/>
                <w:lang w:val="fr-CI"/>
              </w:rPr>
              <w:t>Le projet est toujours en cours.</w:t>
            </w:r>
          </w:p>
        </w:tc>
        <w:tc>
          <w:tcPr>
            <w:tcW w:w="2590" w:type="dxa"/>
          </w:tcPr>
          <w:p w:rsidR="00975E34" w:rsidRPr="0026525D" w:rsidRDefault="00975E34" w:rsidP="00AE2F12">
            <w:pPr>
              <w:contextualSpacing/>
              <w:jc w:val="both"/>
              <w:rPr>
                <w:rFonts w:ascii="Arial" w:hAnsi="Arial" w:cs="Arial"/>
                <w:szCs w:val="24"/>
                <w:lang w:val="fr-CI"/>
              </w:rPr>
            </w:pPr>
            <w:r w:rsidRPr="0026525D">
              <w:rPr>
                <w:rFonts w:ascii="Arial" w:hAnsi="Arial" w:cs="Arial"/>
                <w:szCs w:val="24"/>
                <w:lang w:val="fr-CI"/>
              </w:rPr>
              <w:t>Les préparatifs de sa réunion inaugurale prévue à Maurice n’ont pu être exécutés comme prévu et les dates ont changé.</w:t>
            </w:r>
          </w:p>
        </w:tc>
        <w:tc>
          <w:tcPr>
            <w:tcW w:w="2590" w:type="dxa"/>
          </w:tcPr>
          <w:p w:rsidR="00975E34" w:rsidRPr="0026525D" w:rsidRDefault="00975E34" w:rsidP="00AE2F12">
            <w:pPr>
              <w:contextualSpacing/>
              <w:jc w:val="both"/>
              <w:rPr>
                <w:rFonts w:ascii="Arial" w:hAnsi="Arial" w:cs="Arial"/>
                <w:szCs w:val="24"/>
                <w:lang w:val="fr-CI"/>
              </w:rPr>
            </w:pPr>
            <w:r w:rsidRPr="0026525D">
              <w:rPr>
                <w:rFonts w:ascii="Arial" w:hAnsi="Arial" w:cs="Arial"/>
                <w:szCs w:val="24"/>
                <w:lang w:val="fr-CI"/>
              </w:rPr>
              <w:t>La réunion est désormais prévue de se tenir à Maurice en mars 2017.</w:t>
            </w:r>
          </w:p>
          <w:p w:rsidR="00975E34" w:rsidRPr="0026525D" w:rsidRDefault="00975E34" w:rsidP="00AE2F12">
            <w:pPr>
              <w:contextualSpacing/>
              <w:jc w:val="both"/>
              <w:rPr>
                <w:rFonts w:ascii="Arial" w:hAnsi="Arial" w:cs="Arial"/>
                <w:szCs w:val="24"/>
                <w:lang w:val="fr-CI"/>
              </w:rPr>
            </w:pPr>
          </w:p>
        </w:tc>
      </w:tr>
      <w:tr w:rsidR="00975E34" w:rsidRPr="00F05C47" w:rsidTr="00175AF3">
        <w:tc>
          <w:tcPr>
            <w:tcW w:w="3114" w:type="dxa"/>
          </w:tcPr>
          <w:p w:rsidR="00975E34" w:rsidRPr="0026525D" w:rsidRDefault="00975E34" w:rsidP="00AE2F12">
            <w:pPr>
              <w:contextualSpacing/>
              <w:jc w:val="both"/>
              <w:rPr>
                <w:rFonts w:ascii="Arial" w:hAnsi="Arial" w:cs="Arial"/>
                <w:szCs w:val="24"/>
                <w:lang w:val="fr-CI"/>
              </w:rPr>
            </w:pPr>
          </w:p>
        </w:tc>
        <w:tc>
          <w:tcPr>
            <w:tcW w:w="2066" w:type="dxa"/>
          </w:tcPr>
          <w:p w:rsidR="00975E34" w:rsidRPr="0026525D" w:rsidRDefault="00975E34" w:rsidP="00AE2F12">
            <w:pPr>
              <w:contextualSpacing/>
              <w:jc w:val="both"/>
              <w:rPr>
                <w:rFonts w:ascii="Arial" w:hAnsi="Arial" w:cs="Arial"/>
                <w:szCs w:val="24"/>
                <w:lang w:val="fr-CI"/>
              </w:rPr>
            </w:pPr>
          </w:p>
        </w:tc>
        <w:tc>
          <w:tcPr>
            <w:tcW w:w="2590" w:type="dxa"/>
          </w:tcPr>
          <w:p w:rsidR="00975E34" w:rsidRPr="0026525D" w:rsidRDefault="00975E34" w:rsidP="00AE2F12">
            <w:pPr>
              <w:contextualSpacing/>
              <w:jc w:val="both"/>
              <w:rPr>
                <w:rFonts w:ascii="Arial" w:hAnsi="Arial" w:cs="Arial"/>
                <w:szCs w:val="24"/>
                <w:lang w:val="fr-CI"/>
              </w:rPr>
            </w:pPr>
          </w:p>
        </w:tc>
        <w:tc>
          <w:tcPr>
            <w:tcW w:w="2590" w:type="dxa"/>
          </w:tcPr>
          <w:p w:rsidR="00975E34" w:rsidRPr="0026525D" w:rsidRDefault="00975E34" w:rsidP="00AE2F12">
            <w:pPr>
              <w:contextualSpacing/>
              <w:jc w:val="both"/>
              <w:rPr>
                <w:rFonts w:ascii="Arial" w:hAnsi="Arial" w:cs="Arial"/>
                <w:szCs w:val="24"/>
                <w:lang w:val="fr-CI"/>
              </w:rPr>
            </w:pPr>
          </w:p>
        </w:tc>
        <w:tc>
          <w:tcPr>
            <w:tcW w:w="2590" w:type="dxa"/>
          </w:tcPr>
          <w:p w:rsidR="00975E34" w:rsidRPr="0026525D" w:rsidRDefault="00975E34" w:rsidP="00AE2F12">
            <w:pPr>
              <w:contextualSpacing/>
              <w:jc w:val="both"/>
              <w:rPr>
                <w:rFonts w:ascii="Arial" w:hAnsi="Arial" w:cs="Arial"/>
                <w:szCs w:val="24"/>
                <w:lang w:val="fr-CI"/>
              </w:rPr>
            </w:pPr>
          </w:p>
        </w:tc>
      </w:tr>
      <w:tr w:rsidR="00975E34" w:rsidRPr="00F05C47" w:rsidTr="00175AF3">
        <w:tc>
          <w:tcPr>
            <w:tcW w:w="3114" w:type="dxa"/>
          </w:tcPr>
          <w:p w:rsidR="00975E34" w:rsidRPr="0026525D" w:rsidRDefault="00975E34" w:rsidP="00AE2F12">
            <w:pPr>
              <w:contextualSpacing/>
              <w:jc w:val="both"/>
              <w:rPr>
                <w:rFonts w:ascii="Arial" w:hAnsi="Arial" w:cs="Arial"/>
                <w:szCs w:val="24"/>
                <w:lang w:val="fr-CI"/>
              </w:rPr>
            </w:pPr>
            <w:r w:rsidRPr="0026525D">
              <w:rPr>
                <w:rFonts w:ascii="Arial" w:hAnsi="Arial" w:cs="Arial"/>
                <w:szCs w:val="24"/>
                <w:lang w:val="fr-CI"/>
              </w:rPr>
              <w:t>5. Le barrage d’Inga</w:t>
            </w:r>
          </w:p>
        </w:tc>
        <w:tc>
          <w:tcPr>
            <w:tcW w:w="2066" w:type="dxa"/>
          </w:tcPr>
          <w:p w:rsidR="00975E34" w:rsidRPr="0026525D" w:rsidRDefault="00975E34" w:rsidP="00AE2F12">
            <w:pPr>
              <w:contextualSpacing/>
              <w:jc w:val="both"/>
              <w:rPr>
                <w:rFonts w:ascii="Arial" w:hAnsi="Arial" w:cs="Arial"/>
                <w:szCs w:val="24"/>
                <w:lang w:val="fr-CI"/>
              </w:rPr>
            </w:pPr>
            <w:r w:rsidRPr="0026525D">
              <w:rPr>
                <w:rFonts w:ascii="Arial" w:hAnsi="Arial" w:cs="Arial"/>
                <w:szCs w:val="24"/>
                <w:lang w:val="fr-CI"/>
              </w:rPr>
              <w:t>Département de l’Infrastructure et de l’Énergie</w:t>
            </w:r>
          </w:p>
        </w:tc>
        <w:tc>
          <w:tcPr>
            <w:tcW w:w="2590" w:type="dxa"/>
          </w:tcPr>
          <w:p w:rsidR="00975E34" w:rsidRPr="0026525D" w:rsidRDefault="00D170F6" w:rsidP="00AE2F12">
            <w:pPr>
              <w:contextualSpacing/>
              <w:jc w:val="both"/>
              <w:rPr>
                <w:rFonts w:ascii="Arial" w:hAnsi="Arial" w:cs="Arial"/>
                <w:szCs w:val="24"/>
                <w:lang w:val="fr-CI"/>
              </w:rPr>
            </w:pPr>
            <w:r w:rsidRPr="0026525D">
              <w:rPr>
                <w:rFonts w:ascii="Arial" w:hAnsi="Arial" w:cs="Arial"/>
                <w:szCs w:val="24"/>
                <w:lang w:val="fr-CI"/>
              </w:rPr>
              <w:t>Le projet est en cours ; et en plus du soutien technique, la CUA continue de mobiliser les partenaires de développement et le secteur privé appuyer le projet.</w:t>
            </w:r>
          </w:p>
        </w:tc>
        <w:tc>
          <w:tcPr>
            <w:tcW w:w="2590" w:type="dxa"/>
          </w:tcPr>
          <w:p w:rsidR="00975E34" w:rsidRPr="0026525D" w:rsidRDefault="00D170F6" w:rsidP="00AE2F12">
            <w:pPr>
              <w:contextualSpacing/>
              <w:jc w:val="both"/>
              <w:rPr>
                <w:rFonts w:ascii="Arial" w:hAnsi="Arial" w:cs="Arial"/>
                <w:szCs w:val="24"/>
                <w:lang w:val="fr-CI"/>
              </w:rPr>
            </w:pPr>
            <w:r w:rsidRPr="0026525D">
              <w:rPr>
                <w:rFonts w:ascii="Arial" w:hAnsi="Arial" w:cs="Arial"/>
                <w:szCs w:val="24"/>
                <w:lang w:val="fr-CI"/>
              </w:rPr>
              <w:t>Le lancement du processus de sélection du promoteur privé parmi les trois consortiums pré-présélectionnés qui a débuté en août 2015 attend toujours d’être parachevé.</w:t>
            </w:r>
          </w:p>
        </w:tc>
        <w:tc>
          <w:tcPr>
            <w:tcW w:w="2590" w:type="dxa"/>
          </w:tcPr>
          <w:p w:rsidR="00975E34" w:rsidRPr="0026525D" w:rsidRDefault="00D170F6" w:rsidP="00AE2F12">
            <w:pPr>
              <w:contextualSpacing/>
              <w:jc w:val="both"/>
              <w:rPr>
                <w:rFonts w:ascii="Arial" w:hAnsi="Arial" w:cs="Arial"/>
                <w:szCs w:val="24"/>
                <w:lang w:val="fr-CI"/>
              </w:rPr>
            </w:pPr>
            <w:r w:rsidRPr="0026525D">
              <w:rPr>
                <w:rFonts w:ascii="Arial" w:hAnsi="Arial" w:cs="Arial"/>
                <w:szCs w:val="24"/>
                <w:lang w:val="fr-CI"/>
              </w:rPr>
              <w:t>Le lancement de la construction de l’Inga 3 devrait encore avoir lieu en juin 2017, après quoi il faudra peut-être cinq à sept ans pour la parachever.</w:t>
            </w:r>
          </w:p>
        </w:tc>
      </w:tr>
      <w:tr w:rsidR="00D170F6" w:rsidRPr="00F05C47" w:rsidTr="00175AF3">
        <w:tc>
          <w:tcPr>
            <w:tcW w:w="3114" w:type="dxa"/>
          </w:tcPr>
          <w:p w:rsidR="00D170F6" w:rsidRPr="0026525D" w:rsidRDefault="00D170F6" w:rsidP="00AE2F12">
            <w:pPr>
              <w:contextualSpacing/>
              <w:jc w:val="both"/>
              <w:rPr>
                <w:rFonts w:ascii="Arial" w:hAnsi="Arial" w:cs="Arial"/>
                <w:szCs w:val="24"/>
                <w:lang w:val="fr-CI"/>
              </w:rPr>
            </w:pPr>
          </w:p>
        </w:tc>
        <w:tc>
          <w:tcPr>
            <w:tcW w:w="2066" w:type="dxa"/>
          </w:tcPr>
          <w:p w:rsidR="00D170F6" w:rsidRPr="0026525D" w:rsidRDefault="00D170F6" w:rsidP="00AE2F12">
            <w:pPr>
              <w:contextualSpacing/>
              <w:jc w:val="both"/>
              <w:rPr>
                <w:rFonts w:ascii="Arial" w:hAnsi="Arial" w:cs="Arial"/>
                <w:szCs w:val="24"/>
                <w:lang w:val="fr-CI"/>
              </w:rPr>
            </w:pPr>
          </w:p>
        </w:tc>
        <w:tc>
          <w:tcPr>
            <w:tcW w:w="2590" w:type="dxa"/>
          </w:tcPr>
          <w:p w:rsidR="00D170F6" w:rsidRPr="0026525D" w:rsidRDefault="00D170F6" w:rsidP="00AE2F12">
            <w:pPr>
              <w:contextualSpacing/>
              <w:jc w:val="both"/>
              <w:rPr>
                <w:rFonts w:ascii="Arial" w:hAnsi="Arial" w:cs="Arial"/>
                <w:szCs w:val="24"/>
                <w:lang w:val="fr-CI"/>
              </w:rPr>
            </w:pPr>
          </w:p>
        </w:tc>
        <w:tc>
          <w:tcPr>
            <w:tcW w:w="2590" w:type="dxa"/>
          </w:tcPr>
          <w:p w:rsidR="00D170F6" w:rsidRPr="0026525D" w:rsidRDefault="00D170F6" w:rsidP="00AE2F12">
            <w:pPr>
              <w:contextualSpacing/>
              <w:jc w:val="both"/>
              <w:rPr>
                <w:rFonts w:ascii="Arial" w:hAnsi="Arial" w:cs="Arial"/>
                <w:szCs w:val="24"/>
                <w:lang w:val="fr-CI"/>
              </w:rPr>
            </w:pPr>
          </w:p>
        </w:tc>
        <w:tc>
          <w:tcPr>
            <w:tcW w:w="2590" w:type="dxa"/>
          </w:tcPr>
          <w:p w:rsidR="00D170F6" w:rsidRPr="0026525D" w:rsidRDefault="00D170F6" w:rsidP="00AE2F12">
            <w:pPr>
              <w:contextualSpacing/>
              <w:jc w:val="both"/>
              <w:rPr>
                <w:rFonts w:ascii="Arial" w:hAnsi="Arial" w:cs="Arial"/>
                <w:szCs w:val="24"/>
                <w:lang w:val="fr-CI"/>
              </w:rPr>
            </w:pPr>
          </w:p>
        </w:tc>
      </w:tr>
      <w:tr w:rsidR="00D170F6" w:rsidRPr="00F05C47" w:rsidTr="00175AF3">
        <w:tc>
          <w:tcPr>
            <w:tcW w:w="3114" w:type="dxa"/>
          </w:tcPr>
          <w:p w:rsidR="00D170F6" w:rsidRPr="0026525D" w:rsidRDefault="00B971BD" w:rsidP="00AE2F12">
            <w:pPr>
              <w:contextualSpacing/>
              <w:jc w:val="both"/>
              <w:rPr>
                <w:rFonts w:ascii="Arial" w:hAnsi="Arial" w:cs="Arial"/>
                <w:szCs w:val="24"/>
                <w:lang w:val="fr-CI"/>
              </w:rPr>
            </w:pPr>
            <w:r w:rsidRPr="0026525D">
              <w:rPr>
                <w:rFonts w:ascii="Arial" w:hAnsi="Arial" w:cs="Arial"/>
                <w:szCs w:val="24"/>
                <w:lang w:val="fr-CI"/>
              </w:rPr>
              <w:t>6. Réseau panafricain intégré de trains à grande vitesse</w:t>
            </w:r>
          </w:p>
        </w:tc>
        <w:tc>
          <w:tcPr>
            <w:tcW w:w="2066" w:type="dxa"/>
          </w:tcPr>
          <w:p w:rsidR="00D170F6" w:rsidRPr="0026525D" w:rsidRDefault="00B971BD" w:rsidP="00AE2F12">
            <w:pPr>
              <w:contextualSpacing/>
              <w:jc w:val="both"/>
              <w:rPr>
                <w:rFonts w:ascii="Arial" w:hAnsi="Arial" w:cs="Arial"/>
                <w:szCs w:val="24"/>
                <w:lang w:val="fr-CI"/>
              </w:rPr>
            </w:pPr>
            <w:r w:rsidRPr="0026525D">
              <w:rPr>
                <w:rFonts w:ascii="Arial" w:hAnsi="Arial" w:cs="Arial"/>
                <w:szCs w:val="24"/>
                <w:lang w:val="fr-CI"/>
              </w:rPr>
              <w:t>Département des Infrastructures et de l’Énergie</w:t>
            </w:r>
          </w:p>
        </w:tc>
        <w:tc>
          <w:tcPr>
            <w:tcW w:w="2590" w:type="dxa"/>
          </w:tcPr>
          <w:p w:rsidR="00D170F6" w:rsidRPr="0026525D" w:rsidRDefault="00B971BD" w:rsidP="00AE2F12">
            <w:pPr>
              <w:contextualSpacing/>
              <w:jc w:val="both"/>
              <w:rPr>
                <w:rFonts w:ascii="Arial" w:hAnsi="Arial" w:cs="Arial"/>
                <w:szCs w:val="24"/>
                <w:lang w:val="fr-CI"/>
              </w:rPr>
            </w:pPr>
            <w:r w:rsidRPr="0026525D">
              <w:rPr>
                <w:rFonts w:ascii="Arial" w:hAnsi="Arial" w:cs="Arial"/>
                <w:szCs w:val="24"/>
                <w:lang w:val="fr-CI"/>
              </w:rPr>
              <w:t>Le Plan d’action quinquennal et la feuille de route convenue entre la CUA et le Gouvernement chinois ont été signés en octobre 2016.</w:t>
            </w:r>
          </w:p>
        </w:tc>
        <w:tc>
          <w:tcPr>
            <w:tcW w:w="2590" w:type="dxa"/>
          </w:tcPr>
          <w:p w:rsidR="00D170F6" w:rsidRPr="0026525D" w:rsidRDefault="00B971BD" w:rsidP="00AE2F12">
            <w:pPr>
              <w:contextualSpacing/>
              <w:jc w:val="both"/>
              <w:rPr>
                <w:rFonts w:ascii="Arial" w:hAnsi="Arial" w:cs="Arial"/>
                <w:szCs w:val="24"/>
                <w:lang w:val="fr-CI"/>
              </w:rPr>
            </w:pPr>
            <w:r w:rsidRPr="0026525D">
              <w:rPr>
                <w:rFonts w:ascii="Arial" w:hAnsi="Arial" w:cs="Arial"/>
                <w:szCs w:val="24"/>
                <w:lang w:val="fr-CI"/>
              </w:rPr>
              <w:t>Toutes les CER n’ont pas encore participé au projet, comme requis.</w:t>
            </w:r>
          </w:p>
        </w:tc>
        <w:tc>
          <w:tcPr>
            <w:tcW w:w="2590" w:type="dxa"/>
          </w:tcPr>
          <w:p w:rsidR="00662F57" w:rsidRPr="0026525D" w:rsidRDefault="00662F57" w:rsidP="00AE2F12">
            <w:pPr>
              <w:contextualSpacing/>
              <w:jc w:val="both"/>
              <w:rPr>
                <w:rFonts w:ascii="Arial" w:hAnsi="Arial" w:cs="Arial"/>
                <w:szCs w:val="24"/>
                <w:lang w:val="fr-CI"/>
              </w:rPr>
            </w:pPr>
            <w:r w:rsidRPr="0026525D">
              <w:rPr>
                <w:rFonts w:ascii="Arial" w:hAnsi="Arial" w:cs="Arial"/>
                <w:szCs w:val="24"/>
                <w:lang w:val="fr-CI"/>
              </w:rPr>
              <w:t>Suivant le plan d’action, les 5 prochaines années verront :</w:t>
            </w:r>
          </w:p>
          <w:p w:rsidR="00662F57" w:rsidRPr="0026525D" w:rsidRDefault="00662F57" w:rsidP="00AE2F12">
            <w:pPr>
              <w:contextualSpacing/>
              <w:jc w:val="both"/>
              <w:rPr>
                <w:rFonts w:ascii="Arial" w:hAnsi="Arial" w:cs="Arial"/>
                <w:szCs w:val="24"/>
                <w:lang w:val="fr-CI"/>
              </w:rPr>
            </w:pPr>
            <w:r w:rsidRPr="0026525D">
              <w:rPr>
                <w:rFonts w:ascii="Arial" w:hAnsi="Arial" w:cs="Arial"/>
                <w:szCs w:val="24"/>
                <w:lang w:val="fr-CI"/>
              </w:rPr>
              <w:t>1. l’élaboration d’accords sur les lois et règlements relatifs à la coopération ferroviaire.</w:t>
            </w:r>
          </w:p>
          <w:p w:rsidR="00662F57" w:rsidRPr="0026525D" w:rsidRDefault="00662F57" w:rsidP="00AE2F12">
            <w:pPr>
              <w:contextualSpacing/>
              <w:jc w:val="both"/>
              <w:rPr>
                <w:rFonts w:ascii="Arial" w:hAnsi="Arial" w:cs="Arial"/>
                <w:szCs w:val="24"/>
                <w:lang w:val="fr-CI"/>
              </w:rPr>
            </w:pPr>
            <w:r w:rsidRPr="0026525D">
              <w:rPr>
                <w:rFonts w:ascii="Arial" w:hAnsi="Arial" w:cs="Arial"/>
                <w:szCs w:val="24"/>
                <w:lang w:val="fr-CI"/>
              </w:rPr>
              <w:t>2. la création par la CUA d’une unité d’exécution du projet au cours des six à douze prochains mois.</w:t>
            </w:r>
          </w:p>
          <w:p w:rsidR="00662F57" w:rsidRPr="0026525D" w:rsidRDefault="00662F57" w:rsidP="00AE2F12">
            <w:pPr>
              <w:contextualSpacing/>
              <w:jc w:val="both"/>
              <w:rPr>
                <w:rFonts w:ascii="Arial" w:hAnsi="Arial" w:cs="Arial"/>
                <w:szCs w:val="24"/>
                <w:lang w:val="fr-CI"/>
              </w:rPr>
            </w:pPr>
            <w:r w:rsidRPr="0026525D">
              <w:rPr>
                <w:rFonts w:ascii="Arial" w:hAnsi="Arial" w:cs="Arial"/>
                <w:szCs w:val="24"/>
                <w:lang w:val="fr-CI"/>
              </w:rPr>
              <w:t xml:space="preserve">3. la collaboration pour faciliter la coopération </w:t>
            </w:r>
            <w:r w:rsidRPr="0026525D">
              <w:rPr>
                <w:rFonts w:ascii="Arial" w:hAnsi="Arial" w:cs="Arial"/>
                <w:szCs w:val="24"/>
                <w:lang w:val="fr-CI"/>
              </w:rPr>
              <w:lastRenderedPageBreak/>
              <w:t>entre les entreprises africaines et chinoises, en particulier en matière de renforcement des capacités des entreprises fournisseurs locales et le développement de la fabrication avancée en Afrique ; le transfert de technologie, le renforcement des capacités pour la fabrication locale, y compris l’éducation et le développement des compétences préalables.</w:t>
            </w:r>
          </w:p>
          <w:p w:rsidR="00D170F6" w:rsidRPr="0026525D" w:rsidRDefault="00662F57" w:rsidP="00AE2F12">
            <w:pPr>
              <w:contextualSpacing/>
              <w:jc w:val="both"/>
              <w:rPr>
                <w:rFonts w:ascii="Arial" w:hAnsi="Arial" w:cs="Arial"/>
                <w:szCs w:val="24"/>
                <w:lang w:val="fr-CI"/>
              </w:rPr>
            </w:pPr>
            <w:r w:rsidRPr="0026525D">
              <w:rPr>
                <w:rFonts w:ascii="Arial" w:hAnsi="Arial" w:cs="Arial"/>
                <w:szCs w:val="24"/>
                <w:lang w:val="fr-CI"/>
              </w:rPr>
              <w:t>4. Le gouvernement chinois dirigera la formation du Groupe chinois de coopération sino-africaine dans le domaine des chemins de fer et des trains à grande vitesse afin de conduire le projet.</w:t>
            </w:r>
          </w:p>
        </w:tc>
      </w:tr>
      <w:tr w:rsidR="00662F57" w:rsidRPr="00F05C47" w:rsidTr="00175AF3">
        <w:tc>
          <w:tcPr>
            <w:tcW w:w="3114" w:type="dxa"/>
          </w:tcPr>
          <w:p w:rsidR="00662F57" w:rsidRPr="0026525D" w:rsidRDefault="00662F57" w:rsidP="00AE2F12">
            <w:pPr>
              <w:contextualSpacing/>
              <w:jc w:val="both"/>
              <w:rPr>
                <w:rFonts w:ascii="Arial" w:hAnsi="Arial" w:cs="Arial"/>
                <w:szCs w:val="24"/>
                <w:lang w:val="fr-CI"/>
              </w:rPr>
            </w:pPr>
          </w:p>
        </w:tc>
        <w:tc>
          <w:tcPr>
            <w:tcW w:w="2066" w:type="dxa"/>
          </w:tcPr>
          <w:p w:rsidR="00662F57" w:rsidRPr="0026525D" w:rsidRDefault="00662F57" w:rsidP="00AE2F12">
            <w:pPr>
              <w:contextualSpacing/>
              <w:jc w:val="both"/>
              <w:rPr>
                <w:rFonts w:ascii="Arial" w:hAnsi="Arial" w:cs="Arial"/>
                <w:szCs w:val="24"/>
                <w:lang w:val="fr-CI"/>
              </w:rPr>
            </w:pPr>
          </w:p>
        </w:tc>
        <w:tc>
          <w:tcPr>
            <w:tcW w:w="2590" w:type="dxa"/>
          </w:tcPr>
          <w:p w:rsidR="00662F57" w:rsidRPr="0026525D" w:rsidRDefault="00662F57" w:rsidP="00AE2F12">
            <w:pPr>
              <w:contextualSpacing/>
              <w:jc w:val="both"/>
              <w:rPr>
                <w:rFonts w:ascii="Arial" w:hAnsi="Arial" w:cs="Arial"/>
                <w:szCs w:val="24"/>
                <w:lang w:val="fr-CI"/>
              </w:rPr>
            </w:pPr>
          </w:p>
        </w:tc>
        <w:tc>
          <w:tcPr>
            <w:tcW w:w="2590" w:type="dxa"/>
          </w:tcPr>
          <w:p w:rsidR="00662F57" w:rsidRPr="0026525D" w:rsidRDefault="00662F57" w:rsidP="00AE2F12">
            <w:pPr>
              <w:contextualSpacing/>
              <w:jc w:val="both"/>
              <w:rPr>
                <w:rFonts w:ascii="Arial" w:hAnsi="Arial" w:cs="Arial"/>
                <w:szCs w:val="24"/>
                <w:lang w:val="fr-CI"/>
              </w:rPr>
            </w:pPr>
          </w:p>
        </w:tc>
        <w:tc>
          <w:tcPr>
            <w:tcW w:w="2590" w:type="dxa"/>
          </w:tcPr>
          <w:p w:rsidR="00662F57" w:rsidRPr="0026525D" w:rsidRDefault="00662F57" w:rsidP="00AE2F12">
            <w:pPr>
              <w:contextualSpacing/>
              <w:jc w:val="both"/>
              <w:rPr>
                <w:rFonts w:ascii="Arial" w:hAnsi="Arial" w:cs="Arial"/>
                <w:szCs w:val="24"/>
                <w:lang w:val="fr-CI"/>
              </w:rPr>
            </w:pPr>
          </w:p>
        </w:tc>
      </w:tr>
      <w:tr w:rsidR="00662F57" w:rsidRPr="00F05C47" w:rsidTr="00175AF3">
        <w:tc>
          <w:tcPr>
            <w:tcW w:w="3114" w:type="dxa"/>
          </w:tcPr>
          <w:p w:rsidR="00662F57" w:rsidRPr="0026525D" w:rsidRDefault="00662F57" w:rsidP="00AE2F12">
            <w:pPr>
              <w:contextualSpacing/>
              <w:jc w:val="both"/>
              <w:rPr>
                <w:rFonts w:ascii="Arial" w:hAnsi="Arial" w:cs="Arial"/>
                <w:szCs w:val="24"/>
                <w:lang w:val="fr-CI"/>
              </w:rPr>
            </w:pPr>
            <w:r w:rsidRPr="0026525D">
              <w:rPr>
                <w:rFonts w:ascii="Arial" w:hAnsi="Arial" w:cs="Arial"/>
                <w:szCs w:val="24"/>
                <w:lang w:val="fr-CI"/>
              </w:rPr>
              <w:t>7. Marché unique africain de l’aviation</w:t>
            </w:r>
          </w:p>
        </w:tc>
        <w:tc>
          <w:tcPr>
            <w:tcW w:w="2066" w:type="dxa"/>
          </w:tcPr>
          <w:p w:rsidR="00662F57" w:rsidRPr="0026525D" w:rsidRDefault="00662F57" w:rsidP="00AE2F12">
            <w:pPr>
              <w:contextualSpacing/>
              <w:jc w:val="both"/>
              <w:rPr>
                <w:rFonts w:ascii="Arial" w:hAnsi="Arial" w:cs="Arial"/>
                <w:szCs w:val="24"/>
                <w:lang w:val="fr-CI"/>
              </w:rPr>
            </w:pPr>
            <w:r w:rsidRPr="0026525D">
              <w:rPr>
                <w:rFonts w:ascii="Arial" w:hAnsi="Arial" w:cs="Arial"/>
                <w:szCs w:val="24"/>
                <w:lang w:val="fr-CI"/>
              </w:rPr>
              <w:t>Département des infrastructures et de l’énergie</w:t>
            </w:r>
          </w:p>
        </w:tc>
        <w:tc>
          <w:tcPr>
            <w:tcW w:w="2590" w:type="dxa"/>
          </w:tcPr>
          <w:p w:rsidR="00662F57" w:rsidRPr="0026525D" w:rsidRDefault="00662F57" w:rsidP="00AE2F12">
            <w:pPr>
              <w:contextualSpacing/>
              <w:jc w:val="both"/>
              <w:rPr>
                <w:rFonts w:ascii="Arial" w:hAnsi="Arial" w:cs="Arial"/>
                <w:szCs w:val="24"/>
                <w:lang w:val="fr-CI"/>
              </w:rPr>
            </w:pPr>
            <w:r w:rsidRPr="0026525D">
              <w:rPr>
                <w:rFonts w:ascii="Arial" w:hAnsi="Arial" w:cs="Arial"/>
                <w:szCs w:val="24"/>
                <w:lang w:val="fr-CI"/>
              </w:rPr>
              <w:t>Le projet de Protocole d’accord entre les CER et la CAFAC a été transmis aux CER pour examen.</w:t>
            </w:r>
          </w:p>
        </w:tc>
        <w:tc>
          <w:tcPr>
            <w:tcW w:w="2590" w:type="dxa"/>
          </w:tcPr>
          <w:p w:rsidR="00662F57" w:rsidRPr="0026525D" w:rsidRDefault="00662F57" w:rsidP="00AE2F12">
            <w:pPr>
              <w:contextualSpacing/>
              <w:jc w:val="both"/>
              <w:rPr>
                <w:rFonts w:ascii="Arial" w:hAnsi="Arial" w:cs="Arial"/>
                <w:szCs w:val="24"/>
                <w:lang w:val="fr-CI"/>
              </w:rPr>
            </w:pPr>
          </w:p>
        </w:tc>
        <w:tc>
          <w:tcPr>
            <w:tcW w:w="2590" w:type="dxa"/>
          </w:tcPr>
          <w:p w:rsidR="00662F57" w:rsidRPr="0026525D" w:rsidRDefault="00662F57" w:rsidP="00AE2F12">
            <w:pPr>
              <w:contextualSpacing/>
              <w:jc w:val="both"/>
              <w:rPr>
                <w:rFonts w:ascii="Arial" w:hAnsi="Arial" w:cs="Arial"/>
                <w:szCs w:val="24"/>
                <w:lang w:val="fr-CI"/>
              </w:rPr>
            </w:pPr>
          </w:p>
        </w:tc>
      </w:tr>
      <w:tr w:rsidR="00662F57" w:rsidRPr="00F05C47" w:rsidTr="00175AF3">
        <w:tc>
          <w:tcPr>
            <w:tcW w:w="3114" w:type="dxa"/>
          </w:tcPr>
          <w:p w:rsidR="00662F57" w:rsidRPr="0026525D" w:rsidRDefault="00662F57" w:rsidP="00AE2F12">
            <w:pPr>
              <w:contextualSpacing/>
              <w:jc w:val="both"/>
              <w:rPr>
                <w:rFonts w:ascii="Arial" w:hAnsi="Arial" w:cs="Arial"/>
                <w:szCs w:val="24"/>
                <w:lang w:val="fr-CI"/>
              </w:rPr>
            </w:pPr>
          </w:p>
        </w:tc>
        <w:tc>
          <w:tcPr>
            <w:tcW w:w="2066" w:type="dxa"/>
          </w:tcPr>
          <w:p w:rsidR="00662F57" w:rsidRPr="0026525D" w:rsidRDefault="00662F57" w:rsidP="00AE2F12">
            <w:pPr>
              <w:contextualSpacing/>
              <w:jc w:val="both"/>
              <w:rPr>
                <w:rFonts w:ascii="Arial" w:hAnsi="Arial" w:cs="Arial"/>
                <w:szCs w:val="24"/>
                <w:lang w:val="fr-CI"/>
              </w:rPr>
            </w:pPr>
          </w:p>
        </w:tc>
        <w:tc>
          <w:tcPr>
            <w:tcW w:w="2590" w:type="dxa"/>
          </w:tcPr>
          <w:p w:rsidR="00662F57" w:rsidRPr="0026525D" w:rsidRDefault="00662F57" w:rsidP="00AE2F12">
            <w:pPr>
              <w:contextualSpacing/>
              <w:jc w:val="both"/>
              <w:rPr>
                <w:rFonts w:ascii="Arial" w:hAnsi="Arial" w:cs="Arial"/>
                <w:szCs w:val="24"/>
                <w:lang w:val="fr-CI"/>
              </w:rPr>
            </w:pPr>
          </w:p>
        </w:tc>
        <w:tc>
          <w:tcPr>
            <w:tcW w:w="2590" w:type="dxa"/>
          </w:tcPr>
          <w:p w:rsidR="00662F57" w:rsidRPr="0026525D" w:rsidRDefault="00662F57" w:rsidP="00AE2F12">
            <w:pPr>
              <w:contextualSpacing/>
              <w:jc w:val="both"/>
              <w:rPr>
                <w:rFonts w:ascii="Arial" w:hAnsi="Arial" w:cs="Arial"/>
                <w:szCs w:val="24"/>
                <w:lang w:val="fr-CI"/>
              </w:rPr>
            </w:pPr>
          </w:p>
        </w:tc>
        <w:tc>
          <w:tcPr>
            <w:tcW w:w="2590" w:type="dxa"/>
          </w:tcPr>
          <w:p w:rsidR="00662F57" w:rsidRPr="0026525D" w:rsidRDefault="00662F57" w:rsidP="00AE2F12">
            <w:pPr>
              <w:contextualSpacing/>
              <w:jc w:val="both"/>
              <w:rPr>
                <w:rFonts w:ascii="Arial" w:hAnsi="Arial" w:cs="Arial"/>
                <w:szCs w:val="24"/>
                <w:lang w:val="fr-CI"/>
              </w:rPr>
            </w:pPr>
          </w:p>
        </w:tc>
      </w:tr>
      <w:tr w:rsidR="00662F57" w:rsidRPr="00F05C47" w:rsidTr="00175AF3">
        <w:tc>
          <w:tcPr>
            <w:tcW w:w="3114" w:type="dxa"/>
          </w:tcPr>
          <w:p w:rsidR="00662F57" w:rsidRPr="0026525D" w:rsidRDefault="00662F57" w:rsidP="00AE2F12">
            <w:pPr>
              <w:contextualSpacing/>
              <w:jc w:val="both"/>
              <w:rPr>
                <w:rFonts w:ascii="Arial" w:hAnsi="Arial" w:cs="Arial"/>
                <w:szCs w:val="24"/>
                <w:lang w:val="fr-CI"/>
              </w:rPr>
            </w:pPr>
            <w:r w:rsidRPr="0026525D">
              <w:rPr>
                <w:rFonts w:ascii="Arial" w:hAnsi="Arial" w:cs="Arial"/>
                <w:szCs w:val="24"/>
                <w:lang w:val="fr-CI"/>
              </w:rPr>
              <w:lastRenderedPageBreak/>
              <w:t>8. Stratégie africaine de l’espace extra-atmosphérique</w:t>
            </w:r>
          </w:p>
          <w:p w:rsidR="00662F57" w:rsidRPr="0026525D" w:rsidRDefault="00662F57" w:rsidP="00AE2F12">
            <w:pPr>
              <w:contextualSpacing/>
              <w:jc w:val="both"/>
              <w:rPr>
                <w:rFonts w:ascii="Arial" w:hAnsi="Arial" w:cs="Arial"/>
                <w:szCs w:val="24"/>
                <w:lang w:val="fr-CI"/>
              </w:rPr>
            </w:pPr>
          </w:p>
        </w:tc>
        <w:tc>
          <w:tcPr>
            <w:tcW w:w="2066" w:type="dxa"/>
          </w:tcPr>
          <w:p w:rsidR="00662F57" w:rsidRPr="0026525D" w:rsidRDefault="00075732" w:rsidP="00AE2F12">
            <w:pPr>
              <w:contextualSpacing/>
              <w:jc w:val="both"/>
              <w:rPr>
                <w:rFonts w:ascii="Arial" w:hAnsi="Arial" w:cs="Arial"/>
                <w:szCs w:val="24"/>
                <w:lang w:val="fr-CI"/>
              </w:rPr>
            </w:pPr>
            <w:r w:rsidRPr="0026525D">
              <w:rPr>
                <w:rFonts w:ascii="Arial" w:hAnsi="Arial" w:cs="Arial"/>
                <w:szCs w:val="24"/>
                <w:lang w:val="fr-CI"/>
              </w:rPr>
              <w:t>Département des ressources humaines, de la science et de la technologie</w:t>
            </w:r>
          </w:p>
        </w:tc>
        <w:tc>
          <w:tcPr>
            <w:tcW w:w="2590" w:type="dxa"/>
          </w:tcPr>
          <w:p w:rsidR="00662F57" w:rsidRPr="0026525D" w:rsidRDefault="00075732" w:rsidP="00AE2F12">
            <w:pPr>
              <w:contextualSpacing/>
              <w:jc w:val="both"/>
              <w:rPr>
                <w:rFonts w:ascii="Arial" w:hAnsi="Arial" w:cs="Arial"/>
                <w:szCs w:val="24"/>
                <w:lang w:val="fr-CI"/>
              </w:rPr>
            </w:pPr>
            <w:r w:rsidRPr="0026525D">
              <w:rPr>
                <w:rFonts w:ascii="Arial" w:hAnsi="Arial" w:cs="Arial"/>
                <w:szCs w:val="24"/>
                <w:lang w:val="fr-CI"/>
              </w:rPr>
              <w:t>L’exercice de définition d’une feuille de route claire et consensuelle pour la gouvernance de la politique et de la stratégie spatiales africaines est toujours en cours.</w:t>
            </w:r>
          </w:p>
        </w:tc>
        <w:tc>
          <w:tcPr>
            <w:tcW w:w="2590" w:type="dxa"/>
          </w:tcPr>
          <w:p w:rsidR="00662F57" w:rsidRPr="0026525D" w:rsidRDefault="00662F57" w:rsidP="00AE2F12">
            <w:pPr>
              <w:contextualSpacing/>
              <w:jc w:val="both"/>
              <w:rPr>
                <w:rFonts w:ascii="Arial" w:hAnsi="Arial" w:cs="Arial"/>
                <w:szCs w:val="24"/>
                <w:lang w:val="fr-CI"/>
              </w:rPr>
            </w:pPr>
          </w:p>
        </w:tc>
        <w:tc>
          <w:tcPr>
            <w:tcW w:w="2590" w:type="dxa"/>
          </w:tcPr>
          <w:p w:rsidR="00662F57" w:rsidRPr="0026525D" w:rsidRDefault="00662F57" w:rsidP="00AE2F12">
            <w:pPr>
              <w:contextualSpacing/>
              <w:jc w:val="both"/>
              <w:rPr>
                <w:rFonts w:ascii="Arial" w:hAnsi="Arial" w:cs="Arial"/>
                <w:szCs w:val="24"/>
                <w:lang w:val="fr-CI"/>
              </w:rPr>
            </w:pPr>
          </w:p>
        </w:tc>
      </w:tr>
      <w:tr w:rsidR="00075732" w:rsidRPr="00F05C47" w:rsidTr="00175AF3">
        <w:tc>
          <w:tcPr>
            <w:tcW w:w="3114" w:type="dxa"/>
          </w:tcPr>
          <w:p w:rsidR="00075732" w:rsidRPr="0026525D" w:rsidRDefault="00075732" w:rsidP="00AE2F12">
            <w:pPr>
              <w:contextualSpacing/>
              <w:jc w:val="both"/>
              <w:rPr>
                <w:rFonts w:ascii="Arial" w:hAnsi="Arial" w:cs="Arial"/>
                <w:szCs w:val="24"/>
                <w:lang w:val="fr-CI"/>
              </w:rPr>
            </w:pPr>
          </w:p>
        </w:tc>
        <w:tc>
          <w:tcPr>
            <w:tcW w:w="2066" w:type="dxa"/>
          </w:tcPr>
          <w:p w:rsidR="00075732" w:rsidRPr="0026525D" w:rsidRDefault="00075732" w:rsidP="00AE2F12">
            <w:pPr>
              <w:contextualSpacing/>
              <w:jc w:val="both"/>
              <w:rPr>
                <w:rFonts w:ascii="Arial" w:hAnsi="Arial" w:cs="Arial"/>
                <w:szCs w:val="24"/>
                <w:lang w:val="fr-CI"/>
              </w:rPr>
            </w:pPr>
          </w:p>
        </w:tc>
        <w:tc>
          <w:tcPr>
            <w:tcW w:w="2590" w:type="dxa"/>
          </w:tcPr>
          <w:p w:rsidR="00075732" w:rsidRPr="0026525D" w:rsidRDefault="00075732" w:rsidP="00AE2F12">
            <w:pPr>
              <w:contextualSpacing/>
              <w:jc w:val="both"/>
              <w:rPr>
                <w:rFonts w:ascii="Arial" w:hAnsi="Arial" w:cs="Arial"/>
                <w:szCs w:val="24"/>
                <w:lang w:val="fr-CI"/>
              </w:rPr>
            </w:pPr>
          </w:p>
        </w:tc>
        <w:tc>
          <w:tcPr>
            <w:tcW w:w="2590" w:type="dxa"/>
          </w:tcPr>
          <w:p w:rsidR="00075732" w:rsidRPr="0026525D" w:rsidRDefault="00075732" w:rsidP="00AE2F12">
            <w:pPr>
              <w:contextualSpacing/>
              <w:jc w:val="both"/>
              <w:rPr>
                <w:rFonts w:ascii="Arial" w:hAnsi="Arial" w:cs="Arial"/>
                <w:szCs w:val="24"/>
                <w:lang w:val="fr-CI"/>
              </w:rPr>
            </w:pPr>
          </w:p>
        </w:tc>
        <w:tc>
          <w:tcPr>
            <w:tcW w:w="2590" w:type="dxa"/>
          </w:tcPr>
          <w:p w:rsidR="00075732" w:rsidRPr="0026525D" w:rsidRDefault="00075732" w:rsidP="00AE2F12">
            <w:pPr>
              <w:contextualSpacing/>
              <w:jc w:val="both"/>
              <w:rPr>
                <w:rFonts w:ascii="Arial" w:hAnsi="Arial" w:cs="Arial"/>
                <w:szCs w:val="24"/>
                <w:lang w:val="fr-CI"/>
              </w:rPr>
            </w:pPr>
          </w:p>
        </w:tc>
      </w:tr>
      <w:tr w:rsidR="00075732" w:rsidRPr="00F05C47" w:rsidTr="00175AF3">
        <w:tc>
          <w:tcPr>
            <w:tcW w:w="3114" w:type="dxa"/>
          </w:tcPr>
          <w:p w:rsidR="00075732" w:rsidRPr="0026525D" w:rsidRDefault="00075732" w:rsidP="00AE2F12">
            <w:pPr>
              <w:contextualSpacing/>
              <w:jc w:val="both"/>
              <w:rPr>
                <w:rFonts w:ascii="Arial" w:hAnsi="Arial" w:cs="Arial"/>
                <w:szCs w:val="24"/>
                <w:lang w:val="fr-CI"/>
              </w:rPr>
            </w:pPr>
            <w:r w:rsidRPr="0026525D">
              <w:rPr>
                <w:rFonts w:ascii="Arial" w:hAnsi="Arial" w:cs="Arial"/>
                <w:szCs w:val="24"/>
                <w:lang w:val="fr-CI"/>
              </w:rPr>
              <w:t>9. Réseau électronique panafricain sur la télé-éducation et la télémédecine (</w:t>
            </w:r>
            <w:proofErr w:type="spellStart"/>
            <w:r w:rsidRPr="0026525D">
              <w:rPr>
                <w:rFonts w:ascii="Arial" w:hAnsi="Arial" w:cs="Arial"/>
                <w:szCs w:val="24"/>
                <w:lang w:val="fr-CI"/>
              </w:rPr>
              <w:t>PAeN</w:t>
            </w:r>
            <w:proofErr w:type="spellEnd"/>
            <w:r w:rsidRPr="0026525D">
              <w:rPr>
                <w:rFonts w:ascii="Arial" w:hAnsi="Arial" w:cs="Arial"/>
                <w:szCs w:val="24"/>
                <w:lang w:val="fr-CI"/>
              </w:rPr>
              <w:t>)</w:t>
            </w:r>
          </w:p>
          <w:p w:rsidR="00075732" w:rsidRPr="0026525D" w:rsidRDefault="00075732" w:rsidP="00AE2F12">
            <w:pPr>
              <w:contextualSpacing/>
              <w:jc w:val="both"/>
              <w:rPr>
                <w:rFonts w:ascii="Arial" w:hAnsi="Arial" w:cs="Arial"/>
                <w:szCs w:val="24"/>
                <w:lang w:val="fr-CI"/>
              </w:rPr>
            </w:pPr>
          </w:p>
        </w:tc>
        <w:tc>
          <w:tcPr>
            <w:tcW w:w="2066" w:type="dxa"/>
          </w:tcPr>
          <w:p w:rsidR="00075732" w:rsidRPr="0026525D" w:rsidRDefault="00075732" w:rsidP="00AE2F12">
            <w:pPr>
              <w:contextualSpacing/>
              <w:jc w:val="both"/>
              <w:rPr>
                <w:rFonts w:ascii="Arial" w:hAnsi="Arial" w:cs="Arial"/>
                <w:szCs w:val="24"/>
                <w:lang w:val="fr-CI"/>
              </w:rPr>
            </w:pPr>
            <w:r w:rsidRPr="0026525D">
              <w:rPr>
                <w:rFonts w:ascii="Arial" w:hAnsi="Arial" w:cs="Arial"/>
                <w:szCs w:val="24"/>
                <w:lang w:val="fr-CI"/>
              </w:rPr>
              <w:t>Département des ressources humaines, de la science et de la technologie</w:t>
            </w:r>
          </w:p>
        </w:tc>
        <w:tc>
          <w:tcPr>
            <w:tcW w:w="2590" w:type="dxa"/>
          </w:tcPr>
          <w:p w:rsidR="00075732" w:rsidRPr="0026525D" w:rsidRDefault="00075732" w:rsidP="00AE2F12">
            <w:pPr>
              <w:contextualSpacing/>
              <w:jc w:val="both"/>
              <w:rPr>
                <w:rFonts w:ascii="Arial" w:hAnsi="Arial" w:cs="Arial"/>
                <w:szCs w:val="24"/>
                <w:lang w:val="fr-CI"/>
              </w:rPr>
            </w:pPr>
            <w:r w:rsidRPr="0026525D">
              <w:rPr>
                <w:rFonts w:ascii="Arial" w:hAnsi="Arial" w:cs="Arial"/>
                <w:szCs w:val="24"/>
                <w:lang w:val="fr-CI"/>
              </w:rPr>
              <w:t>La Conférence panafricaine des utilisateurs et le Bureau du Comité technique spécialisé sur les technologies de l’information et de la communication se sont réunis du 26 au 28 avril 2016 pour planifier l’exécution du projet et pour mettre en place ses structures de gouvernance après son transfert du gouvernement indien aux parties africaines ; et pour examiner le projet de Déclaration sur la gouvernance de l’Internet.</w:t>
            </w:r>
          </w:p>
        </w:tc>
        <w:tc>
          <w:tcPr>
            <w:tcW w:w="2590" w:type="dxa"/>
          </w:tcPr>
          <w:p w:rsidR="00075732" w:rsidRPr="0026525D" w:rsidRDefault="00075732" w:rsidP="00AE2F12">
            <w:pPr>
              <w:contextualSpacing/>
              <w:jc w:val="both"/>
              <w:rPr>
                <w:rFonts w:ascii="Arial" w:hAnsi="Arial" w:cs="Arial"/>
                <w:szCs w:val="24"/>
                <w:lang w:val="fr-CI"/>
              </w:rPr>
            </w:pPr>
          </w:p>
        </w:tc>
        <w:tc>
          <w:tcPr>
            <w:tcW w:w="2590" w:type="dxa"/>
          </w:tcPr>
          <w:p w:rsidR="00075732" w:rsidRPr="0026525D" w:rsidRDefault="00075732" w:rsidP="00AE2F12">
            <w:pPr>
              <w:contextualSpacing/>
              <w:jc w:val="both"/>
              <w:rPr>
                <w:rFonts w:ascii="Arial" w:hAnsi="Arial" w:cs="Arial"/>
                <w:szCs w:val="24"/>
                <w:lang w:val="fr-CI"/>
              </w:rPr>
            </w:pPr>
            <w:r w:rsidRPr="0026525D">
              <w:rPr>
                <w:rFonts w:ascii="Arial" w:hAnsi="Arial" w:cs="Arial"/>
                <w:szCs w:val="24"/>
                <w:lang w:val="fr-CI"/>
              </w:rPr>
              <w:t>1. Mettre en place les structures de gouvernance et de gestion convenues.</w:t>
            </w:r>
          </w:p>
          <w:p w:rsidR="00075732" w:rsidRPr="0026525D" w:rsidRDefault="00075732" w:rsidP="00AE2F12">
            <w:pPr>
              <w:contextualSpacing/>
              <w:jc w:val="both"/>
              <w:rPr>
                <w:rFonts w:ascii="Arial" w:hAnsi="Arial" w:cs="Arial"/>
                <w:szCs w:val="24"/>
                <w:lang w:val="fr-CI"/>
              </w:rPr>
            </w:pPr>
            <w:r w:rsidRPr="0026525D">
              <w:rPr>
                <w:rFonts w:ascii="Arial" w:hAnsi="Arial" w:cs="Arial"/>
                <w:szCs w:val="24"/>
                <w:lang w:val="fr-CI"/>
              </w:rPr>
              <w:t>2. Passer à l’exécution du transfert, selon qu’il convient.</w:t>
            </w:r>
          </w:p>
        </w:tc>
      </w:tr>
      <w:tr w:rsidR="00E916FD" w:rsidRPr="00F05C47" w:rsidTr="00175AF3">
        <w:tc>
          <w:tcPr>
            <w:tcW w:w="3114" w:type="dxa"/>
          </w:tcPr>
          <w:p w:rsidR="00E916FD" w:rsidRPr="0026525D" w:rsidRDefault="00E916FD" w:rsidP="00AE2F12">
            <w:pPr>
              <w:contextualSpacing/>
              <w:jc w:val="both"/>
              <w:rPr>
                <w:rFonts w:ascii="Arial" w:hAnsi="Arial" w:cs="Arial"/>
                <w:szCs w:val="24"/>
                <w:lang w:val="fr-CI"/>
              </w:rPr>
            </w:pPr>
          </w:p>
        </w:tc>
        <w:tc>
          <w:tcPr>
            <w:tcW w:w="2066" w:type="dxa"/>
          </w:tcPr>
          <w:p w:rsidR="00E916FD" w:rsidRPr="0026525D" w:rsidRDefault="00E916FD" w:rsidP="00AE2F12">
            <w:pPr>
              <w:contextualSpacing/>
              <w:jc w:val="both"/>
              <w:rPr>
                <w:rFonts w:ascii="Arial" w:hAnsi="Arial" w:cs="Arial"/>
                <w:szCs w:val="24"/>
                <w:lang w:val="fr-CI"/>
              </w:rPr>
            </w:pPr>
          </w:p>
        </w:tc>
        <w:tc>
          <w:tcPr>
            <w:tcW w:w="2590" w:type="dxa"/>
          </w:tcPr>
          <w:p w:rsidR="00E916FD" w:rsidRPr="0026525D" w:rsidRDefault="00E916FD" w:rsidP="00AE2F12">
            <w:pPr>
              <w:contextualSpacing/>
              <w:jc w:val="both"/>
              <w:rPr>
                <w:rFonts w:ascii="Arial" w:hAnsi="Arial" w:cs="Arial"/>
                <w:szCs w:val="24"/>
                <w:lang w:val="fr-CI"/>
              </w:rPr>
            </w:pPr>
          </w:p>
        </w:tc>
        <w:tc>
          <w:tcPr>
            <w:tcW w:w="2590" w:type="dxa"/>
          </w:tcPr>
          <w:p w:rsidR="00E916FD" w:rsidRPr="0026525D" w:rsidRDefault="00E916FD" w:rsidP="00AE2F12">
            <w:pPr>
              <w:contextualSpacing/>
              <w:jc w:val="both"/>
              <w:rPr>
                <w:rFonts w:ascii="Arial" w:hAnsi="Arial" w:cs="Arial"/>
                <w:szCs w:val="24"/>
                <w:lang w:val="fr-CI"/>
              </w:rPr>
            </w:pPr>
          </w:p>
        </w:tc>
        <w:tc>
          <w:tcPr>
            <w:tcW w:w="2590" w:type="dxa"/>
          </w:tcPr>
          <w:p w:rsidR="00E916FD" w:rsidRPr="0026525D" w:rsidRDefault="00E916FD" w:rsidP="00AE2F12">
            <w:pPr>
              <w:contextualSpacing/>
              <w:jc w:val="both"/>
              <w:rPr>
                <w:rFonts w:ascii="Arial" w:hAnsi="Arial" w:cs="Arial"/>
                <w:szCs w:val="24"/>
                <w:lang w:val="fr-CI"/>
              </w:rPr>
            </w:pPr>
          </w:p>
        </w:tc>
      </w:tr>
      <w:tr w:rsidR="00E916FD" w:rsidRPr="00F05C47" w:rsidTr="00175AF3">
        <w:tc>
          <w:tcPr>
            <w:tcW w:w="3114" w:type="dxa"/>
          </w:tcPr>
          <w:p w:rsidR="00E916FD" w:rsidRPr="0026525D" w:rsidRDefault="00E916FD" w:rsidP="00AE2F12">
            <w:pPr>
              <w:contextualSpacing/>
              <w:jc w:val="both"/>
              <w:rPr>
                <w:rFonts w:ascii="Arial" w:hAnsi="Arial" w:cs="Arial"/>
                <w:szCs w:val="24"/>
                <w:lang w:val="fr-CI"/>
              </w:rPr>
            </w:pPr>
            <w:r w:rsidRPr="0026525D">
              <w:rPr>
                <w:rFonts w:ascii="Arial" w:hAnsi="Arial" w:cs="Arial"/>
                <w:szCs w:val="24"/>
                <w:lang w:val="fr-CI"/>
              </w:rPr>
              <w:t>10. Création de l’Université virtuelle</w:t>
            </w:r>
          </w:p>
        </w:tc>
        <w:tc>
          <w:tcPr>
            <w:tcW w:w="2066" w:type="dxa"/>
          </w:tcPr>
          <w:p w:rsidR="00E916FD" w:rsidRPr="0026525D" w:rsidRDefault="00E916FD" w:rsidP="00AE2F12">
            <w:pPr>
              <w:contextualSpacing/>
              <w:jc w:val="both"/>
              <w:rPr>
                <w:rFonts w:ascii="Arial" w:hAnsi="Arial" w:cs="Arial"/>
                <w:szCs w:val="24"/>
                <w:lang w:val="fr-CI"/>
              </w:rPr>
            </w:pPr>
            <w:r w:rsidRPr="0026525D">
              <w:rPr>
                <w:rFonts w:ascii="Arial" w:hAnsi="Arial" w:cs="Arial"/>
                <w:szCs w:val="24"/>
                <w:lang w:val="fr-CI"/>
              </w:rPr>
              <w:t>Département des ressources humaines, de la science et de la technologie</w:t>
            </w:r>
          </w:p>
        </w:tc>
        <w:tc>
          <w:tcPr>
            <w:tcW w:w="2590" w:type="dxa"/>
          </w:tcPr>
          <w:p w:rsidR="00E916FD" w:rsidRPr="0026525D" w:rsidRDefault="00E916FD" w:rsidP="00AE2F12">
            <w:pPr>
              <w:contextualSpacing/>
              <w:jc w:val="both"/>
              <w:rPr>
                <w:rFonts w:ascii="Arial" w:hAnsi="Arial" w:cs="Arial"/>
                <w:szCs w:val="24"/>
                <w:lang w:val="fr-CI"/>
              </w:rPr>
            </w:pPr>
            <w:r w:rsidRPr="0026525D">
              <w:rPr>
                <w:rFonts w:ascii="Arial" w:hAnsi="Arial" w:cs="Arial"/>
                <w:szCs w:val="24"/>
                <w:lang w:val="fr-CI"/>
              </w:rPr>
              <w:t xml:space="preserve">Les efforts ont continué à être axés sur l’élaboration d’une structure de dotation en personnel et sur </w:t>
            </w:r>
            <w:r w:rsidRPr="0026525D">
              <w:rPr>
                <w:rFonts w:ascii="Arial" w:hAnsi="Arial" w:cs="Arial"/>
                <w:szCs w:val="24"/>
                <w:lang w:val="fr-CI"/>
              </w:rPr>
              <w:lastRenderedPageBreak/>
              <w:t>l’élaboration d’un de cadre de projet provisoire (plan stratégique).</w:t>
            </w:r>
          </w:p>
        </w:tc>
        <w:tc>
          <w:tcPr>
            <w:tcW w:w="2590" w:type="dxa"/>
          </w:tcPr>
          <w:p w:rsidR="00E916FD" w:rsidRPr="0026525D" w:rsidRDefault="00E916FD" w:rsidP="00AE2F12">
            <w:pPr>
              <w:contextualSpacing/>
              <w:jc w:val="both"/>
              <w:rPr>
                <w:rFonts w:ascii="Arial" w:hAnsi="Arial" w:cs="Arial"/>
                <w:szCs w:val="24"/>
                <w:lang w:val="fr-CI"/>
              </w:rPr>
            </w:pPr>
          </w:p>
        </w:tc>
        <w:tc>
          <w:tcPr>
            <w:tcW w:w="2590" w:type="dxa"/>
          </w:tcPr>
          <w:p w:rsidR="00E916FD" w:rsidRPr="0026525D" w:rsidRDefault="00E916FD" w:rsidP="00AE2F12">
            <w:pPr>
              <w:contextualSpacing/>
              <w:jc w:val="both"/>
              <w:rPr>
                <w:rFonts w:ascii="Arial" w:hAnsi="Arial" w:cs="Arial"/>
                <w:szCs w:val="24"/>
                <w:lang w:val="fr-CI"/>
              </w:rPr>
            </w:pPr>
          </w:p>
        </w:tc>
      </w:tr>
      <w:tr w:rsidR="00E916FD" w:rsidRPr="00F05C47" w:rsidTr="00175AF3">
        <w:tc>
          <w:tcPr>
            <w:tcW w:w="3114" w:type="dxa"/>
          </w:tcPr>
          <w:p w:rsidR="00E916FD" w:rsidRPr="0026525D" w:rsidRDefault="00E916FD" w:rsidP="00AE2F12">
            <w:pPr>
              <w:contextualSpacing/>
              <w:jc w:val="both"/>
              <w:rPr>
                <w:rFonts w:ascii="Arial" w:hAnsi="Arial" w:cs="Arial"/>
                <w:szCs w:val="24"/>
                <w:lang w:val="fr-CI"/>
              </w:rPr>
            </w:pPr>
          </w:p>
        </w:tc>
        <w:tc>
          <w:tcPr>
            <w:tcW w:w="2066" w:type="dxa"/>
          </w:tcPr>
          <w:p w:rsidR="00E916FD" w:rsidRPr="0026525D" w:rsidRDefault="00E916FD" w:rsidP="00AE2F12">
            <w:pPr>
              <w:contextualSpacing/>
              <w:jc w:val="both"/>
              <w:rPr>
                <w:rFonts w:ascii="Arial" w:hAnsi="Arial" w:cs="Arial"/>
                <w:szCs w:val="24"/>
                <w:lang w:val="fr-CI"/>
              </w:rPr>
            </w:pPr>
          </w:p>
        </w:tc>
        <w:tc>
          <w:tcPr>
            <w:tcW w:w="2590" w:type="dxa"/>
          </w:tcPr>
          <w:p w:rsidR="00E916FD" w:rsidRPr="0026525D" w:rsidRDefault="00E916FD" w:rsidP="00AE2F12">
            <w:pPr>
              <w:contextualSpacing/>
              <w:jc w:val="both"/>
              <w:rPr>
                <w:rFonts w:ascii="Arial" w:hAnsi="Arial" w:cs="Arial"/>
                <w:szCs w:val="24"/>
                <w:lang w:val="fr-CI"/>
              </w:rPr>
            </w:pPr>
          </w:p>
        </w:tc>
        <w:tc>
          <w:tcPr>
            <w:tcW w:w="2590" w:type="dxa"/>
          </w:tcPr>
          <w:p w:rsidR="00E916FD" w:rsidRPr="0026525D" w:rsidRDefault="00E916FD" w:rsidP="00AE2F12">
            <w:pPr>
              <w:contextualSpacing/>
              <w:jc w:val="both"/>
              <w:rPr>
                <w:rFonts w:ascii="Arial" w:hAnsi="Arial" w:cs="Arial"/>
                <w:szCs w:val="24"/>
                <w:lang w:val="fr-CI"/>
              </w:rPr>
            </w:pPr>
          </w:p>
        </w:tc>
        <w:tc>
          <w:tcPr>
            <w:tcW w:w="2590" w:type="dxa"/>
          </w:tcPr>
          <w:p w:rsidR="00E916FD" w:rsidRPr="0026525D" w:rsidRDefault="00E916FD" w:rsidP="00AE2F12">
            <w:pPr>
              <w:contextualSpacing/>
              <w:jc w:val="both"/>
              <w:rPr>
                <w:rFonts w:ascii="Arial" w:hAnsi="Arial" w:cs="Arial"/>
                <w:szCs w:val="24"/>
                <w:lang w:val="fr-CI"/>
              </w:rPr>
            </w:pPr>
          </w:p>
        </w:tc>
      </w:tr>
      <w:tr w:rsidR="00E916FD" w:rsidRPr="00F05C47" w:rsidTr="00175AF3">
        <w:tc>
          <w:tcPr>
            <w:tcW w:w="3114" w:type="dxa"/>
          </w:tcPr>
          <w:p w:rsidR="00E916FD" w:rsidRPr="0026525D" w:rsidRDefault="00E916FD" w:rsidP="00AE2F12">
            <w:pPr>
              <w:contextualSpacing/>
              <w:jc w:val="both"/>
              <w:rPr>
                <w:rFonts w:ascii="Arial" w:hAnsi="Arial" w:cs="Arial"/>
                <w:szCs w:val="24"/>
                <w:lang w:val="fr-CI"/>
              </w:rPr>
            </w:pPr>
            <w:r w:rsidRPr="0026525D">
              <w:rPr>
                <w:rFonts w:ascii="Arial" w:hAnsi="Arial" w:cs="Arial"/>
                <w:szCs w:val="24"/>
                <w:lang w:val="fr-CI"/>
              </w:rPr>
              <w:t>11. Libre circulation des personnes et passeport africain</w:t>
            </w:r>
          </w:p>
        </w:tc>
        <w:tc>
          <w:tcPr>
            <w:tcW w:w="2066" w:type="dxa"/>
          </w:tcPr>
          <w:p w:rsidR="00E916FD" w:rsidRPr="0026525D" w:rsidRDefault="00E916FD" w:rsidP="00AE2F12">
            <w:pPr>
              <w:contextualSpacing/>
              <w:jc w:val="both"/>
              <w:rPr>
                <w:rFonts w:ascii="Arial" w:hAnsi="Arial" w:cs="Arial"/>
                <w:szCs w:val="24"/>
                <w:lang w:val="fr-CI"/>
              </w:rPr>
            </w:pPr>
            <w:r w:rsidRPr="0026525D">
              <w:rPr>
                <w:rFonts w:ascii="Arial" w:hAnsi="Arial" w:cs="Arial"/>
                <w:szCs w:val="24"/>
                <w:lang w:val="fr-CI"/>
              </w:rPr>
              <w:t>Département des affaires politiques</w:t>
            </w:r>
          </w:p>
        </w:tc>
        <w:tc>
          <w:tcPr>
            <w:tcW w:w="2590" w:type="dxa"/>
          </w:tcPr>
          <w:p w:rsidR="00E916FD" w:rsidRPr="0026525D" w:rsidRDefault="00E916FD" w:rsidP="00AE2F12">
            <w:pPr>
              <w:contextualSpacing/>
              <w:jc w:val="both"/>
              <w:rPr>
                <w:rFonts w:ascii="Arial" w:hAnsi="Arial" w:cs="Arial"/>
                <w:szCs w:val="24"/>
                <w:lang w:val="fr-CI"/>
              </w:rPr>
            </w:pPr>
            <w:r w:rsidRPr="0026525D">
              <w:rPr>
                <w:rFonts w:ascii="Arial" w:hAnsi="Arial" w:cs="Arial"/>
                <w:szCs w:val="24"/>
                <w:lang w:val="fr-CI"/>
              </w:rPr>
              <w:t>Les consultations se sont poursuivies, notamment avec les États membres, pour élaborer et valider un protocole de l’UA sur la libre circulation en Afrique. Le sommet de Kigali a vu l’inauguration du passeport africain.</w:t>
            </w:r>
          </w:p>
        </w:tc>
        <w:tc>
          <w:tcPr>
            <w:tcW w:w="2590" w:type="dxa"/>
          </w:tcPr>
          <w:p w:rsidR="00E916FD" w:rsidRPr="0026525D" w:rsidRDefault="00E916FD" w:rsidP="00AE2F12">
            <w:pPr>
              <w:contextualSpacing/>
              <w:jc w:val="both"/>
              <w:rPr>
                <w:rFonts w:ascii="Arial" w:hAnsi="Arial" w:cs="Arial"/>
                <w:szCs w:val="24"/>
                <w:lang w:val="fr-CI"/>
              </w:rPr>
            </w:pPr>
          </w:p>
        </w:tc>
        <w:tc>
          <w:tcPr>
            <w:tcW w:w="2590" w:type="dxa"/>
          </w:tcPr>
          <w:p w:rsidR="00E916FD" w:rsidRPr="0026525D" w:rsidRDefault="00E916FD" w:rsidP="00AE2F12">
            <w:pPr>
              <w:contextualSpacing/>
              <w:jc w:val="both"/>
              <w:rPr>
                <w:rFonts w:ascii="Arial" w:hAnsi="Arial" w:cs="Arial"/>
                <w:szCs w:val="24"/>
                <w:lang w:val="fr-CI"/>
              </w:rPr>
            </w:pPr>
          </w:p>
        </w:tc>
      </w:tr>
      <w:tr w:rsidR="00E916FD" w:rsidRPr="00F05C47" w:rsidTr="00175AF3">
        <w:tc>
          <w:tcPr>
            <w:tcW w:w="3114" w:type="dxa"/>
          </w:tcPr>
          <w:p w:rsidR="00E916FD" w:rsidRPr="0026525D" w:rsidRDefault="00E916FD" w:rsidP="00AE2F12">
            <w:pPr>
              <w:contextualSpacing/>
              <w:jc w:val="both"/>
              <w:rPr>
                <w:rFonts w:ascii="Arial" w:hAnsi="Arial" w:cs="Arial"/>
                <w:szCs w:val="24"/>
                <w:lang w:val="fr-CI"/>
              </w:rPr>
            </w:pPr>
          </w:p>
        </w:tc>
        <w:tc>
          <w:tcPr>
            <w:tcW w:w="2066" w:type="dxa"/>
          </w:tcPr>
          <w:p w:rsidR="00E916FD" w:rsidRPr="0026525D" w:rsidRDefault="00E916FD" w:rsidP="00AE2F12">
            <w:pPr>
              <w:contextualSpacing/>
              <w:jc w:val="both"/>
              <w:rPr>
                <w:rFonts w:ascii="Arial" w:hAnsi="Arial" w:cs="Arial"/>
                <w:szCs w:val="24"/>
                <w:lang w:val="fr-CI"/>
              </w:rPr>
            </w:pPr>
          </w:p>
        </w:tc>
        <w:tc>
          <w:tcPr>
            <w:tcW w:w="2590" w:type="dxa"/>
          </w:tcPr>
          <w:p w:rsidR="00E916FD" w:rsidRPr="0026525D" w:rsidRDefault="00E916FD" w:rsidP="00AE2F12">
            <w:pPr>
              <w:contextualSpacing/>
              <w:jc w:val="both"/>
              <w:rPr>
                <w:rFonts w:ascii="Arial" w:hAnsi="Arial" w:cs="Arial"/>
                <w:szCs w:val="24"/>
                <w:lang w:val="fr-CI"/>
              </w:rPr>
            </w:pPr>
          </w:p>
        </w:tc>
        <w:tc>
          <w:tcPr>
            <w:tcW w:w="2590" w:type="dxa"/>
          </w:tcPr>
          <w:p w:rsidR="00E916FD" w:rsidRPr="0026525D" w:rsidRDefault="00E916FD" w:rsidP="00AE2F12">
            <w:pPr>
              <w:contextualSpacing/>
              <w:jc w:val="both"/>
              <w:rPr>
                <w:rFonts w:ascii="Arial" w:hAnsi="Arial" w:cs="Arial"/>
                <w:szCs w:val="24"/>
                <w:lang w:val="fr-CI"/>
              </w:rPr>
            </w:pPr>
          </w:p>
        </w:tc>
        <w:tc>
          <w:tcPr>
            <w:tcW w:w="2590" w:type="dxa"/>
          </w:tcPr>
          <w:p w:rsidR="00E916FD" w:rsidRPr="0026525D" w:rsidRDefault="00E916FD" w:rsidP="00AE2F12">
            <w:pPr>
              <w:contextualSpacing/>
              <w:jc w:val="both"/>
              <w:rPr>
                <w:rFonts w:ascii="Arial" w:hAnsi="Arial" w:cs="Arial"/>
                <w:szCs w:val="24"/>
                <w:lang w:val="fr-CI"/>
              </w:rPr>
            </w:pPr>
          </w:p>
        </w:tc>
      </w:tr>
      <w:tr w:rsidR="00E916FD" w:rsidRPr="00F05C47" w:rsidTr="00175AF3">
        <w:tc>
          <w:tcPr>
            <w:tcW w:w="3114" w:type="dxa"/>
          </w:tcPr>
          <w:p w:rsidR="00E916FD" w:rsidRPr="0026525D" w:rsidRDefault="00E916FD" w:rsidP="00AE2F12">
            <w:pPr>
              <w:contextualSpacing/>
              <w:jc w:val="both"/>
              <w:rPr>
                <w:rFonts w:ascii="Arial" w:hAnsi="Arial" w:cs="Arial"/>
                <w:szCs w:val="24"/>
                <w:lang w:val="fr-CI"/>
              </w:rPr>
            </w:pPr>
            <w:r w:rsidRPr="0026525D">
              <w:rPr>
                <w:rFonts w:ascii="Arial" w:hAnsi="Arial" w:cs="Arial"/>
                <w:szCs w:val="24"/>
                <w:lang w:val="fr-CI"/>
              </w:rPr>
              <w:t>12. Négociations sur la Zone de libre-échange continentale</w:t>
            </w:r>
          </w:p>
        </w:tc>
        <w:tc>
          <w:tcPr>
            <w:tcW w:w="2066" w:type="dxa"/>
          </w:tcPr>
          <w:p w:rsidR="00E916FD" w:rsidRPr="0026525D" w:rsidRDefault="00E916FD" w:rsidP="00AE2F12">
            <w:pPr>
              <w:contextualSpacing/>
              <w:jc w:val="both"/>
              <w:rPr>
                <w:rFonts w:ascii="Arial" w:hAnsi="Arial" w:cs="Arial"/>
                <w:szCs w:val="24"/>
                <w:lang w:val="fr-CI"/>
              </w:rPr>
            </w:pPr>
            <w:r w:rsidRPr="0026525D">
              <w:rPr>
                <w:rFonts w:ascii="Arial" w:hAnsi="Arial" w:cs="Arial"/>
                <w:szCs w:val="24"/>
                <w:lang w:val="fr-CI"/>
              </w:rPr>
              <w:t>Département du commerce et de l’industrie</w:t>
            </w:r>
          </w:p>
        </w:tc>
        <w:tc>
          <w:tcPr>
            <w:tcW w:w="2590" w:type="dxa"/>
          </w:tcPr>
          <w:p w:rsidR="00E916FD" w:rsidRPr="0026525D" w:rsidRDefault="00B860A2" w:rsidP="00AE2F12">
            <w:pPr>
              <w:contextualSpacing/>
              <w:jc w:val="both"/>
              <w:rPr>
                <w:rFonts w:ascii="Arial" w:hAnsi="Arial" w:cs="Arial"/>
                <w:szCs w:val="24"/>
                <w:lang w:val="fr-CI"/>
              </w:rPr>
            </w:pPr>
            <w:r w:rsidRPr="0026525D">
              <w:rPr>
                <w:rFonts w:ascii="Arial" w:hAnsi="Arial" w:cs="Arial"/>
                <w:szCs w:val="24"/>
                <w:lang w:val="fr-CI"/>
              </w:rPr>
              <w:t>Les négociations pour la création d’une Zone de libre-échanges continentale dans le cadre du Forum</w:t>
            </w:r>
            <w:r w:rsidR="00750DF1" w:rsidRPr="0026525D">
              <w:rPr>
                <w:rFonts w:ascii="Arial" w:hAnsi="Arial" w:cs="Arial"/>
                <w:szCs w:val="24"/>
                <w:lang w:val="fr-CI"/>
              </w:rPr>
              <w:t xml:space="preserve"> de négociation</w:t>
            </w:r>
            <w:r w:rsidRPr="0026525D">
              <w:rPr>
                <w:rFonts w:ascii="Arial" w:hAnsi="Arial" w:cs="Arial"/>
                <w:szCs w:val="24"/>
                <w:lang w:val="fr-CI"/>
              </w:rPr>
              <w:t xml:space="preserve"> de la ZLEC (FN-ZLEC) se sont poursuivies.</w:t>
            </w:r>
          </w:p>
        </w:tc>
        <w:tc>
          <w:tcPr>
            <w:tcW w:w="2590" w:type="dxa"/>
          </w:tcPr>
          <w:p w:rsidR="00E916FD" w:rsidRPr="0026525D" w:rsidRDefault="00E916FD" w:rsidP="00AE2F12">
            <w:pPr>
              <w:contextualSpacing/>
              <w:jc w:val="both"/>
              <w:rPr>
                <w:rFonts w:ascii="Arial" w:hAnsi="Arial" w:cs="Arial"/>
                <w:szCs w:val="24"/>
                <w:lang w:val="fr-CI"/>
              </w:rPr>
            </w:pPr>
          </w:p>
        </w:tc>
        <w:tc>
          <w:tcPr>
            <w:tcW w:w="2590" w:type="dxa"/>
          </w:tcPr>
          <w:p w:rsidR="00E916FD" w:rsidRPr="0026525D" w:rsidRDefault="00B860A2" w:rsidP="00AE2F12">
            <w:pPr>
              <w:contextualSpacing/>
              <w:jc w:val="both"/>
              <w:rPr>
                <w:rFonts w:ascii="Arial" w:hAnsi="Arial" w:cs="Arial"/>
                <w:szCs w:val="24"/>
                <w:lang w:val="fr-CI"/>
              </w:rPr>
            </w:pPr>
            <w:r w:rsidRPr="0026525D">
              <w:rPr>
                <w:rFonts w:ascii="Arial" w:hAnsi="Arial" w:cs="Arial"/>
                <w:szCs w:val="24"/>
                <w:lang w:val="fr-CI"/>
              </w:rPr>
              <w:t>Les négociations devraient se poursuivre.</w:t>
            </w:r>
          </w:p>
        </w:tc>
      </w:tr>
      <w:tr w:rsidR="00B860A2" w:rsidRPr="00F05C47" w:rsidTr="00175AF3">
        <w:tc>
          <w:tcPr>
            <w:tcW w:w="3114" w:type="dxa"/>
          </w:tcPr>
          <w:p w:rsidR="00B860A2" w:rsidRPr="0026525D" w:rsidRDefault="00B860A2" w:rsidP="00AE2F12">
            <w:pPr>
              <w:contextualSpacing/>
              <w:jc w:val="both"/>
              <w:rPr>
                <w:rFonts w:ascii="Arial" w:hAnsi="Arial" w:cs="Arial"/>
                <w:szCs w:val="24"/>
                <w:lang w:val="fr-CI"/>
              </w:rPr>
            </w:pPr>
          </w:p>
        </w:tc>
        <w:tc>
          <w:tcPr>
            <w:tcW w:w="2066" w:type="dxa"/>
          </w:tcPr>
          <w:p w:rsidR="00B860A2" w:rsidRPr="0026525D" w:rsidRDefault="00B860A2" w:rsidP="00AE2F12">
            <w:pPr>
              <w:contextualSpacing/>
              <w:jc w:val="both"/>
              <w:rPr>
                <w:rFonts w:ascii="Arial" w:hAnsi="Arial" w:cs="Arial"/>
                <w:szCs w:val="24"/>
                <w:lang w:val="fr-CI"/>
              </w:rPr>
            </w:pPr>
          </w:p>
        </w:tc>
        <w:tc>
          <w:tcPr>
            <w:tcW w:w="2590" w:type="dxa"/>
          </w:tcPr>
          <w:p w:rsidR="00B860A2" w:rsidRPr="0026525D" w:rsidRDefault="00B860A2" w:rsidP="00AE2F12">
            <w:pPr>
              <w:contextualSpacing/>
              <w:jc w:val="both"/>
              <w:rPr>
                <w:rFonts w:ascii="Arial" w:hAnsi="Arial" w:cs="Arial"/>
                <w:szCs w:val="24"/>
                <w:lang w:val="fr-CI"/>
              </w:rPr>
            </w:pPr>
          </w:p>
        </w:tc>
        <w:tc>
          <w:tcPr>
            <w:tcW w:w="2590" w:type="dxa"/>
          </w:tcPr>
          <w:p w:rsidR="00B860A2" w:rsidRPr="0026525D" w:rsidRDefault="00B860A2" w:rsidP="00AE2F12">
            <w:pPr>
              <w:contextualSpacing/>
              <w:jc w:val="both"/>
              <w:rPr>
                <w:rFonts w:ascii="Arial" w:hAnsi="Arial" w:cs="Arial"/>
                <w:szCs w:val="24"/>
                <w:lang w:val="fr-CI"/>
              </w:rPr>
            </w:pPr>
          </w:p>
        </w:tc>
        <w:tc>
          <w:tcPr>
            <w:tcW w:w="2590" w:type="dxa"/>
          </w:tcPr>
          <w:p w:rsidR="00B860A2" w:rsidRPr="0026525D" w:rsidRDefault="00B860A2" w:rsidP="00AE2F12">
            <w:pPr>
              <w:contextualSpacing/>
              <w:jc w:val="both"/>
              <w:rPr>
                <w:rFonts w:ascii="Arial" w:hAnsi="Arial" w:cs="Arial"/>
                <w:szCs w:val="24"/>
                <w:lang w:val="fr-CI"/>
              </w:rPr>
            </w:pPr>
          </w:p>
        </w:tc>
      </w:tr>
      <w:tr w:rsidR="00B860A2" w:rsidRPr="00F05C47" w:rsidTr="00175AF3">
        <w:tc>
          <w:tcPr>
            <w:tcW w:w="3114" w:type="dxa"/>
          </w:tcPr>
          <w:p w:rsidR="00B860A2" w:rsidRPr="0026525D" w:rsidRDefault="00B860A2" w:rsidP="00AE2F12">
            <w:pPr>
              <w:contextualSpacing/>
              <w:jc w:val="both"/>
              <w:rPr>
                <w:rFonts w:ascii="Arial" w:hAnsi="Arial" w:cs="Arial"/>
                <w:szCs w:val="24"/>
                <w:lang w:val="fr-CI"/>
              </w:rPr>
            </w:pPr>
            <w:r w:rsidRPr="0026525D">
              <w:rPr>
                <w:rFonts w:ascii="Arial" w:hAnsi="Arial" w:cs="Arial"/>
                <w:szCs w:val="24"/>
                <w:lang w:val="fr-CI"/>
              </w:rPr>
              <w:t xml:space="preserve">13 Grand </w:t>
            </w:r>
            <w:r w:rsidR="004366FD" w:rsidRPr="0026525D">
              <w:rPr>
                <w:rFonts w:ascii="Arial" w:hAnsi="Arial" w:cs="Arial"/>
                <w:szCs w:val="24"/>
                <w:lang w:val="fr-CI"/>
              </w:rPr>
              <w:t>M</w:t>
            </w:r>
            <w:r w:rsidRPr="0026525D">
              <w:rPr>
                <w:rFonts w:ascii="Arial" w:hAnsi="Arial" w:cs="Arial"/>
                <w:szCs w:val="24"/>
                <w:lang w:val="fr-CI"/>
              </w:rPr>
              <w:t>usée d’Afrique</w:t>
            </w:r>
          </w:p>
        </w:tc>
        <w:tc>
          <w:tcPr>
            <w:tcW w:w="2066" w:type="dxa"/>
          </w:tcPr>
          <w:p w:rsidR="00B860A2" w:rsidRPr="0026525D" w:rsidRDefault="00B860A2" w:rsidP="00AE2F12">
            <w:pPr>
              <w:contextualSpacing/>
              <w:jc w:val="both"/>
              <w:rPr>
                <w:rFonts w:ascii="Arial" w:hAnsi="Arial" w:cs="Arial"/>
                <w:szCs w:val="24"/>
                <w:lang w:val="fr-CI"/>
              </w:rPr>
            </w:pPr>
            <w:r w:rsidRPr="0026525D">
              <w:rPr>
                <w:rFonts w:ascii="Arial" w:hAnsi="Arial" w:cs="Arial"/>
                <w:szCs w:val="24"/>
                <w:lang w:val="fr-CI"/>
              </w:rPr>
              <w:t>Département des affaires sociales</w:t>
            </w:r>
          </w:p>
        </w:tc>
        <w:tc>
          <w:tcPr>
            <w:tcW w:w="2590" w:type="dxa"/>
          </w:tcPr>
          <w:p w:rsidR="00B860A2" w:rsidRPr="0026525D" w:rsidRDefault="00B860A2" w:rsidP="00AE2F12">
            <w:pPr>
              <w:contextualSpacing/>
              <w:jc w:val="both"/>
              <w:rPr>
                <w:rFonts w:ascii="Arial" w:hAnsi="Arial" w:cs="Arial"/>
                <w:szCs w:val="24"/>
                <w:lang w:val="fr-CI"/>
              </w:rPr>
            </w:pPr>
            <w:r w:rsidRPr="0026525D">
              <w:rPr>
                <w:rFonts w:ascii="Arial" w:hAnsi="Arial" w:cs="Arial"/>
                <w:szCs w:val="24"/>
                <w:lang w:val="fr-CI"/>
              </w:rPr>
              <w:t>Après l’adoption du projet comme un des projets phares lors du sommet de Kigali, la CUA travaille avec l’Algérie, qui abrite le projet, afin d’élaborer un plan d’action.</w:t>
            </w:r>
          </w:p>
        </w:tc>
        <w:tc>
          <w:tcPr>
            <w:tcW w:w="2590" w:type="dxa"/>
          </w:tcPr>
          <w:p w:rsidR="00B860A2" w:rsidRPr="0026525D" w:rsidRDefault="00B860A2" w:rsidP="00AE2F12">
            <w:pPr>
              <w:contextualSpacing/>
              <w:jc w:val="both"/>
              <w:rPr>
                <w:rFonts w:ascii="Arial" w:hAnsi="Arial" w:cs="Arial"/>
                <w:szCs w:val="24"/>
                <w:lang w:val="fr-CI"/>
              </w:rPr>
            </w:pPr>
          </w:p>
        </w:tc>
        <w:tc>
          <w:tcPr>
            <w:tcW w:w="2590" w:type="dxa"/>
          </w:tcPr>
          <w:p w:rsidR="00B860A2" w:rsidRPr="0026525D" w:rsidRDefault="00B860A2" w:rsidP="00AE2F12">
            <w:pPr>
              <w:contextualSpacing/>
              <w:jc w:val="both"/>
              <w:rPr>
                <w:rFonts w:ascii="Arial" w:hAnsi="Arial" w:cs="Arial"/>
                <w:szCs w:val="24"/>
                <w:lang w:val="fr-CI"/>
              </w:rPr>
            </w:pPr>
            <w:r w:rsidRPr="0026525D">
              <w:rPr>
                <w:rFonts w:ascii="Arial" w:hAnsi="Arial" w:cs="Arial"/>
                <w:szCs w:val="24"/>
                <w:lang w:val="fr-CI"/>
              </w:rPr>
              <w:t>Les consultations continueront d’accélérer la mise en œuvre du projet.</w:t>
            </w:r>
          </w:p>
        </w:tc>
      </w:tr>
    </w:tbl>
    <w:p w:rsidR="00CE063F" w:rsidRPr="004366FD" w:rsidRDefault="00CE063F" w:rsidP="00AE2F12">
      <w:pPr>
        <w:spacing w:after="0" w:line="240" w:lineRule="auto"/>
        <w:contextualSpacing/>
        <w:jc w:val="both"/>
        <w:rPr>
          <w:rFonts w:ascii="Arial" w:hAnsi="Arial" w:cs="Arial"/>
          <w:sz w:val="4"/>
          <w:szCs w:val="24"/>
          <w:lang w:val="fr-CI"/>
        </w:rPr>
      </w:pPr>
    </w:p>
    <w:sectPr w:rsidR="00CE063F" w:rsidRPr="004366FD" w:rsidSect="00B87E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A7E" w:rsidRDefault="00F73A7E">
      <w:pPr>
        <w:spacing w:after="0" w:line="240" w:lineRule="auto"/>
      </w:pPr>
      <w:r>
        <w:separator/>
      </w:r>
    </w:p>
  </w:endnote>
  <w:endnote w:type="continuationSeparator" w:id="0">
    <w:p w:rsidR="00F73A7E" w:rsidRDefault="00F7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DD" w:rsidRDefault="004254DD" w:rsidP="00F174E1">
    <w:pPr>
      <w:pStyle w:val="Footer"/>
      <w:pBdr>
        <w:top w:val="thinThickSmallGap" w:sz="24" w:space="1" w:color="622423"/>
      </w:pBdr>
      <w:tabs>
        <w:tab w:val="clear" w:pos="4680"/>
        <w:tab w:val="clear" w:pos="9360"/>
        <w:tab w:val="right" w:pos="8306"/>
      </w:tabs>
      <w:rPr>
        <w:rFonts w:ascii="Cambria" w:hAnsi="Cambria"/>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F05C47" w:rsidRPr="00F05C47">
      <w:rPr>
        <w:rFonts w:ascii="Cambria" w:hAnsi="Cambria"/>
        <w:noProof/>
      </w:rPr>
      <w:t>4</w:t>
    </w:r>
    <w:r>
      <w:rPr>
        <w:rFonts w:ascii="Cambria" w:hAnsi="Cambria"/>
        <w:noProof/>
      </w:rPr>
      <w:fldChar w:fldCharType="end"/>
    </w:r>
  </w:p>
  <w:p w:rsidR="004254DD" w:rsidRDefault="00425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4DD" w:rsidRDefault="004254DD" w:rsidP="00F174E1">
    <w:pPr>
      <w:pStyle w:val="Footer"/>
      <w:pBdr>
        <w:top w:val="thinThickSmallGap" w:sz="24" w:space="1" w:color="622423"/>
      </w:pBdr>
      <w:tabs>
        <w:tab w:val="clear" w:pos="4680"/>
        <w:tab w:val="clear" w:pos="9360"/>
        <w:tab w:val="right" w:pos="8306"/>
      </w:tabs>
      <w:rPr>
        <w:rFonts w:ascii="Cambria" w:hAnsi="Cambria"/>
      </w:rPr>
    </w:pPr>
  </w:p>
  <w:p w:rsidR="004254DD" w:rsidRDefault="00425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A7E" w:rsidRDefault="00F73A7E">
      <w:pPr>
        <w:spacing w:after="0" w:line="240" w:lineRule="auto"/>
      </w:pPr>
      <w:r>
        <w:separator/>
      </w:r>
    </w:p>
  </w:footnote>
  <w:footnote w:type="continuationSeparator" w:id="0">
    <w:p w:rsidR="00F73A7E" w:rsidRDefault="00F73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136516347"/>
      <w:docPartObj>
        <w:docPartGallery w:val="Page Numbers (Top of Page)"/>
        <w:docPartUnique/>
      </w:docPartObj>
    </w:sdtPr>
    <w:sdtEndPr>
      <w:rPr>
        <w:b/>
        <w:noProof/>
      </w:rPr>
    </w:sdtEndPr>
    <w:sdtContent>
      <w:p w:rsidR="004254DD" w:rsidRPr="0026525D" w:rsidRDefault="004254DD">
        <w:pPr>
          <w:pStyle w:val="Header"/>
          <w:jc w:val="right"/>
          <w:rPr>
            <w:rFonts w:ascii="Arial" w:hAnsi="Arial" w:cs="Arial"/>
            <w:b/>
          </w:rPr>
        </w:pPr>
        <w:r w:rsidRPr="0026525D">
          <w:rPr>
            <w:rFonts w:ascii="Arial" w:hAnsi="Arial" w:cs="Arial"/>
            <w:b/>
          </w:rPr>
          <w:t xml:space="preserve">Page </w:t>
        </w:r>
        <w:r w:rsidRPr="0026525D">
          <w:rPr>
            <w:rFonts w:ascii="Arial" w:hAnsi="Arial" w:cs="Arial"/>
            <w:b/>
          </w:rPr>
          <w:fldChar w:fldCharType="begin"/>
        </w:r>
        <w:r w:rsidRPr="0026525D">
          <w:rPr>
            <w:rFonts w:ascii="Arial" w:hAnsi="Arial" w:cs="Arial"/>
            <w:b/>
          </w:rPr>
          <w:instrText xml:space="preserve"> PAGE   \* MERGEFORMAT </w:instrText>
        </w:r>
        <w:r w:rsidRPr="0026525D">
          <w:rPr>
            <w:rFonts w:ascii="Arial" w:hAnsi="Arial" w:cs="Arial"/>
            <w:b/>
          </w:rPr>
          <w:fldChar w:fldCharType="separate"/>
        </w:r>
        <w:r w:rsidR="00F05C47">
          <w:rPr>
            <w:rFonts w:ascii="Arial" w:hAnsi="Arial" w:cs="Arial"/>
            <w:b/>
            <w:noProof/>
          </w:rPr>
          <w:t>20</w:t>
        </w:r>
        <w:r w:rsidRPr="0026525D">
          <w:rPr>
            <w:rFonts w:ascii="Arial" w:hAnsi="Arial" w:cs="Arial"/>
            <w:b/>
            <w:noProof/>
          </w:rPr>
          <w:fldChar w:fldCharType="end"/>
        </w:r>
      </w:p>
    </w:sdtContent>
  </w:sdt>
  <w:p w:rsidR="004254DD" w:rsidRDefault="00425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226"/>
    <w:multiLevelType w:val="hybridMultilevel"/>
    <w:tmpl w:val="AF480B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5633B"/>
    <w:multiLevelType w:val="hybridMultilevel"/>
    <w:tmpl w:val="933E45F0"/>
    <w:lvl w:ilvl="0" w:tplc="53A66448">
      <w:start w:val="1"/>
      <w:numFmt w:val="lowerRoman"/>
      <w:lvlText w:val="%1)"/>
      <w:lvlJc w:val="righ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84F39"/>
    <w:multiLevelType w:val="hybridMultilevel"/>
    <w:tmpl w:val="2D02F0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9845CE"/>
    <w:multiLevelType w:val="multilevel"/>
    <w:tmpl w:val="634CED7A"/>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0A940657"/>
    <w:multiLevelType w:val="hybridMultilevel"/>
    <w:tmpl w:val="B908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E0760"/>
    <w:multiLevelType w:val="hybridMultilevel"/>
    <w:tmpl w:val="85C09CC6"/>
    <w:lvl w:ilvl="0" w:tplc="C436F1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44158"/>
    <w:multiLevelType w:val="hybridMultilevel"/>
    <w:tmpl w:val="82CAE6A0"/>
    <w:lvl w:ilvl="0" w:tplc="EA8231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D32A9A"/>
    <w:multiLevelType w:val="hybridMultilevel"/>
    <w:tmpl w:val="BA9CAABE"/>
    <w:lvl w:ilvl="0" w:tplc="20A602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D55AF1"/>
    <w:multiLevelType w:val="hybridMultilevel"/>
    <w:tmpl w:val="C7360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365DFB"/>
    <w:multiLevelType w:val="hybridMultilevel"/>
    <w:tmpl w:val="B2B8C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3156A1"/>
    <w:multiLevelType w:val="hybridMultilevel"/>
    <w:tmpl w:val="83642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74CBE"/>
    <w:multiLevelType w:val="hybridMultilevel"/>
    <w:tmpl w:val="033C648E"/>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962854"/>
    <w:multiLevelType w:val="hybridMultilevel"/>
    <w:tmpl w:val="B5E22C72"/>
    <w:lvl w:ilvl="0" w:tplc="551C8238">
      <w:start w:val="1"/>
      <w:numFmt w:val="low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F07097"/>
    <w:multiLevelType w:val="hybridMultilevel"/>
    <w:tmpl w:val="0E9CCF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C32021F"/>
    <w:multiLevelType w:val="hybridMultilevel"/>
    <w:tmpl w:val="7856202A"/>
    <w:lvl w:ilvl="0" w:tplc="0409000D">
      <w:start w:val="1"/>
      <w:numFmt w:val="bullet"/>
      <w:lvlText w:val=""/>
      <w:lvlJc w:val="left"/>
      <w:pPr>
        <w:ind w:left="1080" w:hanging="360"/>
      </w:pPr>
      <w:rPr>
        <w:rFonts w:ascii="Wingdings" w:hAnsi="Wingdings" w:hint="default"/>
      </w:rPr>
    </w:lvl>
    <w:lvl w:ilvl="1" w:tplc="46E41814">
      <w:numFmt w:val="bullet"/>
      <w:lvlText w:val="•"/>
      <w:lvlJc w:val="left"/>
      <w:pPr>
        <w:ind w:left="2160" w:hanging="72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2D0696"/>
    <w:multiLevelType w:val="hybridMultilevel"/>
    <w:tmpl w:val="35CC2DDC"/>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B8285BE4">
      <w:start w:val="1"/>
      <w:numFmt w:val="upperRoman"/>
      <w:lvlText w:val="%3)"/>
      <w:lvlJc w:val="left"/>
      <w:pPr>
        <w:ind w:left="2700" w:hanging="720"/>
      </w:pPr>
      <w:rPr>
        <w:rFonts w:hint="default"/>
        <w:u w:val="single"/>
      </w:rPr>
    </w:lvl>
    <w:lvl w:ilvl="3" w:tplc="ACC8293E">
      <w:start w:val="1"/>
      <w:numFmt w:val="lowerLetter"/>
      <w:lvlText w:val="%4)"/>
      <w:lvlJc w:val="left"/>
      <w:pPr>
        <w:ind w:left="2880" w:hanging="360"/>
      </w:pPr>
      <w:rPr>
        <w:rFonts w:hint="default"/>
      </w:rPr>
    </w:lvl>
    <w:lvl w:ilvl="4" w:tplc="DA90632C">
      <w:start w:val="1"/>
      <w:numFmt w:val="decimal"/>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8A75C1"/>
    <w:multiLevelType w:val="hybridMultilevel"/>
    <w:tmpl w:val="440E3DBA"/>
    <w:lvl w:ilvl="0" w:tplc="F58A4E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262423"/>
    <w:multiLevelType w:val="hybridMultilevel"/>
    <w:tmpl w:val="2D7688C8"/>
    <w:lvl w:ilvl="0" w:tplc="67F6D5C0">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611B34"/>
    <w:multiLevelType w:val="hybridMultilevel"/>
    <w:tmpl w:val="BE1CAF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866AB4"/>
    <w:multiLevelType w:val="multilevel"/>
    <w:tmpl w:val="17C662E2"/>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56901B89"/>
    <w:multiLevelType w:val="hybridMultilevel"/>
    <w:tmpl w:val="00D8B66A"/>
    <w:lvl w:ilvl="0" w:tplc="B0A8D10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E618FD"/>
    <w:multiLevelType w:val="hybridMultilevel"/>
    <w:tmpl w:val="F7F06E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B35B7B"/>
    <w:multiLevelType w:val="hybridMultilevel"/>
    <w:tmpl w:val="EA3E04A8"/>
    <w:lvl w:ilvl="0" w:tplc="CD2EFE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F9535F"/>
    <w:multiLevelType w:val="hybridMultilevel"/>
    <w:tmpl w:val="5DDAE8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DE31198"/>
    <w:multiLevelType w:val="multilevel"/>
    <w:tmpl w:val="FFB0D0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64CB126D"/>
    <w:multiLevelType w:val="hybridMultilevel"/>
    <w:tmpl w:val="82CAE6A0"/>
    <w:lvl w:ilvl="0" w:tplc="EA8231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213F58"/>
    <w:multiLevelType w:val="hybridMultilevel"/>
    <w:tmpl w:val="544C52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C0073A"/>
    <w:multiLevelType w:val="hybridMultilevel"/>
    <w:tmpl w:val="521A2802"/>
    <w:lvl w:ilvl="0" w:tplc="9766C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BF3904"/>
    <w:multiLevelType w:val="hybridMultilevel"/>
    <w:tmpl w:val="14D48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CC0D54"/>
    <w:multiLevelType w:val="hybridMultilevel"/>
    <w:tmpl w:val="26C6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57CE3"/>
    <w:multiLevelType w:val="hybridMultilevel"/>
    <w:tmpl w:val="CE6E0C30"/>
    <w:lvl w:ilvl="0" w:tplc="38C2BB6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A91E88"/>
    <w:multiLevelType w:val="multilevel"/>
    <w:tmpl w:val="784EE8FE"/>
    <w:lvl w:ilvl="0">
      <w:start w:val="1"/>
      <w:numFmt w:val="decimal"/>
      <w:lvlText w:val="%1."/>
      <w:lvlJc w:val="left"/>
      <w:pPr>
        <w:ind w:left="36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2">
    <w:nsid w:val="7C0930AF"/>
    <w:multiLevelType w:val="hybridMultilevel"/>
    <w:tmpl w:val="E424D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CA529B6"/>
    <w:multiLevelType w:val="hybridMultilevel"/>
    <w:tmpl w:val="EFF05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CC0286"/>
    <w:multiLevelType w:val="hybridMultilevel"/>
    <w:tmpl w:val="B43A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2"/>
  </w:num>
  <w:num w:numId="4">
    <w:abstractNumId w:val="26"/>
  </w:num>
  <w:num w:numId="5">
    <w:abstractNumId w:val="18"/>
  </w:num>
  <w:num w:numId="6">
    <w:abstractNumId w:val="31"/>
  </w:num>
  <w:num w:numId="7">
    <w:abstractNumId w:val="11"/>
  </w:num>
  <w:num w:numId="8">
    <w:abstractNumId w:val="14"/>
  </w:num>
  <w:num w:numId="9">
    <w:abstractNumId w:val="20"/>
  </w:num>
  <w:num w:numId="10">
    <w:abstractNumId w:val="0"/>
  </w:num>
  <w:num w:numId="11">
    <w:abstractNumId w:val="12"/>
  </w:num>
  <w:num w:numId="12">
    <w:abstractNumId w:val="1"/>
  </w:num>
  <w:num w:numId="13">
    <w:abstractNumId w:val="32"/>
  </w:num>
  <w:num w:numId="14">
    <w:abstractNumId w:val="22"/>
  </w:num>
  <w:num w:numId="15">
    <w:abstractNumId w:val="3"/>
  </w:num>
  <w:num w:numId="16">
    <w:abstractNumId w:val="6"/>
  </w:num>
  <w:num w:numId="17">
    <w:abstractNumId w:val="25"/>
  </w:num>
  <w:num w:numId="18">
    <w:abstractNumId w:val="15"/>
  </w:num>
  <w:num w:numId="19">
    <w:abstractNumId w:val="29"/>
  </w:num>
  <w:num w:numId="20">
    <w:abstractNumId w:val="4"/>
  </w:num>
  <w:num w:numId="21">
    <w:abstractNumId w:val="28"/>
  </w:num>
  <w:num w:numId="22">
    <w:abstractNumId w:val="23"/>
  </w:num>
  <w:num w:numId="23">
    <w:abstractNumId w:val="13"/>
  </w:num>
  <w:num w:numId="24">
    <w:abstractNumId w:val="17"/>
  </w:num>
  <w:num w:numId="25">
    <w:abstractNumId w:val="30"/>
  </w:num>
  <w:num w:numId="26">
    <w:abstractNumId w:val="24"/>
  </w:num>
  <w:num w:numId="27">
    <w:abstractNumId w:val="21"/>
  </w:num>
  <w:num w:numId="28">
    <w:abstractNumId w:val="27"/>
  </w:num>
  <w:num w:numId="29">
    <w:abstractNumId w:val="10"/>
  </w:num>
  <w:num w:numId="30">
    <w:abstractNumId w:val="5"/>
  </w:num>
  <w:num w:numId="31">
    <w:abstractNumId w:val="8"/>
  </w:num>
  <w:num w:numId="32">
    <w:abstractNumId w:val="34"/>
  </w:num>
  <w:num w:numId="33">
    <w:abstractNumId w:val="9"/>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2F"/>
    <w:rsid w:val="00013D2F"/>
    <w:rsid w:val="0003042D"/>
    <w:rsid w:val="00066D96"/>
    <w:rsid w:val="00075732"/>
    <w:rsid w:val="00096453"/>
    <w:rsid w:val="000C5C0A"/>
    <w:rsid w:val="000F5567"/>
    <w:rsid w:val="0014177E"/>
    <w:rsid w:val="0015395C"/>
    <w:rsid w:val="001610D1"/>
    <w:rsid w:val="001642C8"/>
    <w:rsid w:val="00175AF3"/>
    <w:rsid w:val="0018095C"/>
    <w:rsid w:val="001908D3"/>
    <w:rsid w:val="00190EDB"/>
    <w:rsid w:val="00193318"/>
    <w:rsid w:val="001C3A0B"/>
    <w:rsid w:val="001E0674"/>
    <w:rsid w:val="001F7A73"/>
    <w:rsid w:val="00245F41"/>
    <w:rsid w:val="00254AE0"/>
    <w:rsid w:val="0026525D"/>
    <w:rsid w:val="00286D21"/>
    <w:rsid w:val="00290DB8"/>
    <w:rsid w:val="002C7321"/>
    <w:rsid w:val="002E1AE3"/>
    <w:rsid w:val="002F645D"/>
    <w:rsid w:val="00331E1D"/>
    <w:rsid w:val="003657FC"/>
    <w:rsid w:val="00376D3A"/>
    <w:rsid w:val="003A5329"/>
    <w:rsid w:val="003B7527"/>
    <w:rsid w:val="003C36C2"/>
    <w:rsid w:val="003D4DF2"/>
    <w:rsid w:val="003D7D69"/>
    <w:rsid w:val="003F2F20"/>
    <w:rsid w:val="0040081A"/>
    <w:rsid w:val="00422643"/>
    <w:rsid w:val="004254DD"/>
    <w:rsid w:val="00434012"/>
    <w:rsid w:val="004366FD"/>
    <w:rsid w:val="00443D67"/>
    <w:rsid w:val="0047125E"/>
    <w:rsid w:val="00494958"/>
    <w:rsid w:val="004A6CAC"/>
    <w:rsid w:val="004B3281"/>
    <w:rsid w:val="004C6799"/>
    <w:rsid w:val="004C7DDF"/>
    <w:rsid w:val="004F442F"/>
    <w:rsid w:val="00523FBC"/>
    <w:rsid w:val="00554090"/>
    <w:rsid w:val="005572DF"/>
    <w:rsid w:val="005878C0"/>
    <w:rsid w:val="00595367"/>
    <w:rsid w:val="005D4A36"/>
    <w:rsid w:val="00605D6F"/>
    <w:rsid w:val="006628F0"/>
    <w:rsid w:val="00662F57"/>
    <w:rsid w:val="006654AC"/>
    <w:rsid w:val="00691775"/>
    <w:rsid w:val="006971EE"/>
    <w:rsid w:val="006A7006"/>
    <w:rsid w:val="006B448A"/>
    <w:rsid w:val="006B6DE0"/>
    <w:rsid w:val="006C0289"/>
    <w:rsid w:val="006E4507"/>
    <w:rsid w:val="006F7797"/>
    <w:rsid w:val="007053E2"/>
    <w:rsid w:val="007263DF"/>
    <w:rsid w:val="007337F3"/>
    <w:rsid w:val="007418AE"/>
    <w:rsid w:val="00750DF1"/>
    <w:rsid w:val="007552BE"/>
    <w:rsid w:val="00765B4E"/>
    <w:rsid w:val="007C4186"/>
    <w:rsid w:val="00813324"/>
    <w:rsid w:val="008243F3"/>
    <w:rsid w:val="00827BA1"/>
    <w:rsid w:val="0086645E"/>
    <w:rsid w:val="008800D9"/>
    <w:rsid w:val="00880358"/>
    <w:rsid w:val="008C0ED5"/>
    <w:rsid w:val="00924FEC"/>
    <w:rsid w:val="0093418B"/>
    <w:rsid w:val="00953109"/>
    <w:rsid w:val="00970B8C"/>
    <w:rsid w:val="00975E34"/>
    <w:rsid w:val="009934E5"/>
    <w:rsid w:val="009F51CE"/>
    <w:rsid w:val="00A05D5F"/>
    <w:rsid w:val="00AC5C89"/>
    <w:rsid w:val="00AD7D05"/>
    <w:rsid w:val="00AE2F12"/>
    <w:rsid w:val="00AF6D0A"/>
    <w:rsid w:val="00B166F6"/>
    <w:rsid w:val="00B40316"/>
    <w:rsid w:val="00B62339"/>
    <w:rsid w:val="00B7552D"/>
    <w:rsid w:val="00B77039"/>
    <w:rsid w:val="00B860A2"/>
    <w:rsid w:val="00B875EF"/>
    <w:rsid w:val="00B87E0A"/>
    <w:rsid w:val="00B971BD"/>
    <w:rsid w:val="00BA2848"/>
    <w:rsid w:val="00BB3DC0"/>
    <w:rsid w:val="00BC1407"/>
    <w:rsid w:val="00BF6120"/>
    <w:rsid w:val="00C15CE0"/>
    <w:rsid w:val="00C16EF7"/>
    <w:rsid w:val="00C476A2"/>
    <w:rsid w:val="00C562B7"/>
    <w:rsid w:val="00C63171"/>
    <w:rsid w:val="00C64A97"/>
    <w:rsid w:val="00C81CAD"/>
    <w:rsid w:val="00C97FEE"/>
    <w:rsid w:val="00CC22ED"/>
    <w:rsid w:val="00CC357B"/>
    <w:rsid w:val="00CE063F"/>
    <w:rsid w:val="00D170F6"/>
    <w:rsid w:val="00D24221"/>
    <w:rsid w:val="00D530B7"/>
    <w:rsid w:val="00D6173E"/>
    <w:rsid w:val="00D75E89"/>
    <w:rsid w:val="00D8761D"/>
    <w:rsid w:val="00E10622"/>
    <w:rsid w:val="00E916FD"/>
    <w:rsid w:val="00E977F6"/>
    <w:rsid w:val="00F05C47"/>
    <w:rsid w:val="00F10A50"/>
    <w:rsid w:val="00F110E9"/>
    <w:rsid w:val="00F15E9C"/>
    <w:rsid w:val="00F174E1"/>
    <w:rsid w:val="00F17C68"/>
    <w:rsid w:val="00F2006F"/>
    <w:rsid w:val="00F23B1A"/>
    <w:rsid w:val="00F3060C"/>
    <w:rsid w:val="00F6153C"/>
    <w:rsid w:val="00F72AD9"/>
    <w:rsid w:val="00F73A7E"/>
    <w:rsid w:val="00F84A3C"/>
    <w:rsid w:val="00F92B5A"/>
    <w:rsid w:val="00FA3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3100E-096B-47E9-951A-B2F588BE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F2006F"/>
    <w:pPr>
      <w:keepNext/>
      <w:spacing w:after="0" w:line="240" w:lineRule="auto"/>
      <w:jc w:val="center"/>
      <w:outlineLvl w:val="0"/>
    </w:pPr>
    <w:rPr>
      <w:rFonts w:ascii="Arial" w:eastAsia="Times New Roman" w:hAnsi="Arial" w:cs="Times New Roman"/>
      <w:b/>
      <w:bCs/>
      <w:sz w:val="52"/>
      <w:szCs w:val="24"/>
      <w:lang w:val="fr-FR"/>
    </w:rPr>
  </w:style>
  <w:style w:type="paragraph" w:styleId="Heading4">
    <w:name w:val="heading 4"/>
    <w:basedOn w:val="Normal"/>
    <w:next w:val="Normal"/>
    <w:link w:val="Heading4Char"/>
    <w:qFormat/>
    <w:rsid w:val="00F2006F"/>
    <w:pPr>
      <w:keepNext/>
      <w:spacing w:after="0" w:line="240" w:lineRule="auto"/>
      <w:jc w:val="center"/>
      <w:outlineLvl w:val="3"/>
    </w:pPr>
    <w:rPr>
      <w:rFonts w:ascii="Arial" w:eastAsia="Times New Roman" w:hAnsi="Arial" w:cs="Times New Roman"/>
      <w:b/>
      <w:bCs/>
      <w:sz w:val="28"/>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 List Paragraph,References,Numbered List Paragraph,ReferencesCxSpLast,List Paragraph (numbered (a)),List Paragraph nowy,Liste 1,Bullets,Dot pt,F5 List Paragraph,List Paragraph1,List Paragraph Char Char Char,Indicator Text,Numbered Para 1"/>
    <w:basedOn w:val="Normal"/>
    <w:link w:val="ListParagraphChar"/>
    <w:uiPriority w:val="34"/>
    <w:qFormat/>
    <w:rsid w:val="004F442F"/>
    <w:pPr>
      <w:ind w:left="720"/>
      <w:contextualSpacing/>
    </w:pPr>
  </w:style>
  <w:style w:type="paragraph" w:styleId="BalloonText">
    <w:name w:val="Balloon Text"/>
    <w:basedOn w:val="Normal"/>
    <w:link w:val="BalloonTextChar"/>
    <w:uiPriority w:val="99"/>
    <w:semiHidden/>
    <w:unhideWhenUsed/>
    <w:rsid w:val="001E0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74"/>
    <w:rPr>
      <w:rFonts w:ascii="Segoe UI" w:hAnsi="Segoe UI" w:cs="Segoe UI"/>
      <w:sz w:val="18"/>
      <w:szCs w:val="18"/>
      <w:lang w:val="en-GB"/>
    </w:rPr>
  </w:style>
  <w:style w:type="character" w:customStyle="1" w:styleId="Heading1Char">
    <w:name w:val="Heading 1 Char"/>
    <w:basedOn w:val="DefaultParagraphFont"/>
    <w:link w:val="Heading1"/>
    <w:rsid w:val="00F2006F"/>
    <w:rPr>
      <w:rFonts w:ascii="Arial" w:eastAsia="Times New Roman" w:hAnsi="Arial" w:cs="Times New Roman"/>
      <w:b/>
      <w:bCs/>
      <w:sz w:val="52"/>
      <w:szCs w:val="24"/>
      <w:lang w:val="fr-FR"/>
    </w:rPr>
  </w:style>
  <w:style w:type="character" w:customStyle="1" w:styleId="Heading4Char">
    <w:name w:val="Heading 4 Char"/>
    <w:basedOn w:val="DefaultParagraphFont"/>
    <w:link w:val="Heading4"/>
    <w:rsid w:val="00F2006F"/>
    <w:rPr>
      <w:rFonts w:ascii="Arial" w:eastAsia="Times New Roman" w:hAnsi="Arial" w:cs="Times New Roman"/>
      <w:b/>
      <w:bCs/>
      <w:sz w:val="28"/>
      <w:szCs w:val="24"/>
      <w:lang w:val="fr-FR"/>
    </w:rPr>
  </w:style>
  <w:style w:type="paragraph" w:styleId="BodyText">
    <w:name w:val="Body Text"/>
    <w:basedOn w:val="Normal"/>
    <w:link w:val="BodyTextChar"/>
    <w:semiHidden/>
    <w:rsid w:val="00BC1407"/>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BC14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407"/>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C1407"/>
    <w:rPr>
      <w:rFonts w:ascii="Times New Roman" w:eastAsia="Times New Roman" w:hAnsi="Times New Roman" w:cs="Times New Roman"/>
      <w:sz w:val="24"/>
      <w:szCs w:val="24"/>
    </w:rPr>
  </w:style>
  <w:style w:type="paragraph" w:styleId="NoSpacing">
    <w:name w:val="No Spacing"/>
    <w:uiPriority w:val="1"/>
    <w:qFormat/>
    <w:rsid w:val="00BC1407"/>
    <w:pPr>
      <w:spacing w:after="0" w:line="240" w:lineRule="auto"/>
      <w:jc w:val="center"/>
    </w:pPr>
    <w:rPr>
      <w:rFonts w:ascii="Calibri" w:eastAsia="Calibri" w:hAnsi="Calibri" w:cs="Times New Roman"/>
    </w:rPr>
  </w:style>
  <w:style w:type="character" w:customStyle="1" w:styleId="NoneA">
    <w:name w:val="None A"/>
    <w:rsid w:val="00BC1407"/>
  </w:style>
  <w:style w:type="paragraph" w:customStyle="1" w:styleId="BodyA">
    <w:name w:val="Body A"/>
    <w:rsid w:val="00BC1407"/>
    <w:pPr>
      <w:pBdr>
        <w:top w:val="nil"/>
        <w:left w:val="nil"/>
        <w:bottom w:val="nil"/>
        <w:right w:val="nil"/>
        <w:between w:val="nil"/>
        <w:bar w:val="nil"/>
      </w:pBdr>
      <w:spacing w:after="0" w:line="360" w:lineRule="auto"/>
      <w:ind w:left="720"/>
      <w:jc w:val="both"/>
    </w:pPr>
    <w:rPr>
      <w:rFonts w:ascii="Arial" w:eastAsia="Arial Unicode MS" w:hAnsi="Arial" w:cs="Arial Unicode MS"/>
      <w:color w:val="000000"/>
      <w:u w:color="000000"/>
      <w:bdr w:val="nil"/>
    </w:rPr>
  </w:style>
  <w:style w:type="character" w:customStyle="1" w:styleId="ListParagraphChar">
    <w:name w:val="List Paragraph Char"/>
    <w:aliases w:val="• List Paragraph Char,References Char,Numbered List Paragraph Char,ReferencesCxSpLast Char,List Paragraph (numbered (a)) Char,List Paragraph nowy Char,Liste 1 Char,Bullets Char,Dot pt Char,F5 List Paragraph Char,List Paragraph1 Char"/>
    <w:link w:val="ListParagraph"/>
    <w:uiPriority w:val="34"/>
    <w:locked/>
    <w:rsid w:val="00BC1407"/>
    <w:rPr>
      <w:lang w:val="en-GB"/>
    </w:rPr>
  </w:style>
  <w:style w:type="character" w:customStyle="1" w:styleId="apple-style-span">
    <w:name w:val="apple-style-span"/>
    <w:rsid w:val="00BC1407"/>
  </w:style>
  <w:style w:type="paragraph" w:styleId="Header">
    <w:name w:val="header"/>
    <w:basedOn w:val="Normal"/>
    <w:link w:val="HeaderChar"/>
    <w:uiPriority w:val="99"/>
    <w:unhideWhenUsed/>
    <w:rsid w:val="00BF6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12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2373-D2FA-49AB-A279-151C5EA8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6415</Words>
  <Characters>36572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42902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Retselisitsoe Mabote</dc:creator>
  <cp:keywords/>
  <dc:description/>
  <cp:lastModifiedBy>Kokobe George</cp:lastModifiedBy>
  <cp:revision>5</cp:revision>
  <cp:lastPrinted>2017-01-17T12:39:00Z</cp:lastPrinted>
  <dcterms:created xsi:type="dcterms:W3CDTF">2017-01-17T12:36:00Z</dcterms:created>
  <dcterms:modified xsi:type="dcterms:W3CDTF">2017-03-08T09:01:00Z</dcterms:modified>
</cp:coreProperties>
</file>