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BC" w:rsidRPr="007F752C" w:rsidRDefault="007F752C" w:rsidP="007F752C">
      <w:pPr>
        <w:spacing w:after="0" w:line="240" w:lineRule="auto"/>
        <w:jc w:val="right"/>
        <w:rPr>
          <w:rFonts w:ascii="Arial" w:hAnsi="Arial" w:cs="Arial"/>
          <w:b/>
          <w:sz w:val="18"/>
          <w:szCs w:val="24"/>
          <w:lang w:val="fr-CI"/>
        </w:rPr>
      </w:pPr>
      <w:r>
        <w:rPr>
          <w:rFonts w:ascii="Arial" w:hAnsi="Arial" w:cs="Arial"/>
          <w:b/>
          <w:sz w:val="18"/>
          <w:szCs w:val="24"/>
          <w:lang w:val="fr-CI"/>
        </w:rPr>
        <w:t>WG20925 – 122/15/15</w:t>
      </w:r>
    </w:p>
    <w:tbl>
      <w:tblPr>
        <w:tblpPr w:leftFromText="180" w:rightFromText="180" w:bottomFromText="200" w:vertAnchor="text" w:horzAnchor="page" w:tblpXSpec="center" w:tblpY="-45"/>
        <w:tblW w:w="9322" w:type="dxa"/>
        <w:tblLook w:val="04A0" w:firstRow="1" w:lastRow="0" w:firstColumn="1" w:lastColumn="0" w:noHBand="0" w:noVBand="1"/>
      </w:tblPr>
      <w:tblGrid>
        <w:gridCol w:w="4149"/>
        <w:gridCol w:w="1887"/>
        <w:gridCol w:w="3286"/>
      </w:tblGrid>
      <w:tr w:rsidR="00130DBC" w:rsidRPr="00617AAF" w:rsidTr="00A41FE3">
        <w:trPr>
          <w:cantSplit/>
        </w:trPr>
        <w:tc>
          <w:tcPr>
            <w:tcW w:w="4149" w:type="dxa"/>
          </w:tcPr>
          <w:p w:rsidR="00130DBC" w:rsidRPr="00617AAF" w:rsidRDefault="00130DBC" w:rsidP="007F752C">
            <w:pPr>
              <w:keepNext/>
              <w:spacing w:after="0" w:line="240" w:lineRule="auto"/>
              <w:jc w:val="center"/>
              <w:outlineLvl w:val="3"/>
              <w:rPr>
                <w:rFonts w:ascii="Arial" w:eastAsia="Arial Unicode MS" w:hAnsi="Arial" w:cs="Arial"/>
                <w:b/>
                <w:bCs/>
                <w:sz w:val="24"/>
                <w:szCs w:val="24"/>
                <w:lang w:val="fr-CI"/>
              </w:rPr>
            </w:pPr>
            <w:r w:rsidRPr="00617AAF">
              <w:rPr>
                <w:rFonts w:ascii="Arial" w:eastAsia="Arial Unicode MS" w:hAnsi="Arial" w:cs="Arial"/>
                <w:b/>
                <w:bCs/>
                <w:sz w:val="24"/>
                <w:szCs w:val="24"/>
                <w:lang w:val="fr-CI"/>
              </w:rPr>
              <w:t>AFRICAN UNION</w:t>
            </w:r>
          </w:p>
        </w:tc>
        <w:tc>
          <w:tcPr>
            <w:tcW w:w="1887" w:type="dxa"/>
            <w:vMerge w:val="restart"/>
            <w:tcBorders>
              <w:top w:val="nil"/>
              <w:left w:val="nil"/>
              <w:bottom w:val="single" w:sz="4" w:space="0" w:color="auto"/>
              <w:right w:val="nil"/>
            </w:tcBorders>
          </w:tcPr>
          <w:p w:rsidR="00130DBC" w:rsidRPr="00617AAF" w:rsidRDefault="00130DBC" w:rsidP="007F752C">
            <w:pPr>
              <w:spacing w:after="0" w:line="240" w:lineRule="auto"/>
              <w:jc w:val="center"/>
              <w:rPr>
                <w:rFonts w:ascii="Arial" w:eastAsia="Calibri" w:hAnsi="Arial" w:cs="Arial"/>
                <w:sz w:val="24"/>
                <w:szCs w:val="24"/>
                <w:lang w:val="fr-CI"/>
              </w:rPr>
            </w:pPr>
            <w:r w:rsidRPr="00617AAF">
              <w:rPr>
                <w:rFonts w:ascii="Arial" w:eastAsia="Calibri" w:hAnsi="Arial" w:cs="Arial"/>
                <w:noProof/>
                <w:sz w:val="24"/>
                <w:szCs w:val="24"/>
                <w:lang w:val="fr-FR" w:eastAsia="fr-FR"/>
              </w:rPr>
              <w:drawing>
                <wp:inline distT="0" distB="0" distL="0" distR="0" wp14:anchorId="605D47ED" wp14:editId="759D470E">
                  <wp:extent cx="7143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tc>
        <w:tc>
          <w:tcPr>
            <w:tcW w:w="3286" w:type="dxa"/>
          </w:tcPr>
          <w:p w:rsidR="00130DBC" w:rsidRPr="00617AAF" w:rsidRDefault="00130DBC" w:rsidP="007F752C">
            <w:pPr>
              <w:keepNext/>
              <w:spacing w:after="0" w:line="240" w:lineRule="auto"/>
              <w:jc w:val="center"/>
              <w:outlineLvl w:val="3"/>
              <w:rPr>
                <w:rFonts w:ascii="Arial" w:eastAsia="Arial Unicode MS" w:hAnsi="Arial" w:cs="Arial"/>
                <w:b/>
                <w:bCs/>
                <w:sz w:val="24"/>
                <w:szCs w:val="24"/>
                <w:lang w:val="fr-CI"/>
              </w:rPr>
            </w:pPr>
            <w:r w:rsidRPr="00617AAF">
              <w:rPr>
                <w:rFonts w:ascii="Arial" w:eastAsia="Arial Unicode MS" w:hAnsi="Arial" w:cs="Arial"/>
                <w:b/>
                <w:bCs/>
                <w:sz w:val="24"/>
                <w:szCs w:val="24"/>
                <w:lang w:val="fr-CI"/>
              </w:rPr>
              <w:t>UNION AFRICAINE</w:t>
            </w:r>
          </w:p>
        </w:tc>
      </w:tr>
      <w:tr w:rsidR="00130DBC" w:rsidRPr="00617AAF" w:rsidTr="00A41FE3">
        <w:trPr>
          <w:cantSplit/>
          <w:trHeight w:val="674"/>
        </w:trPr>
        <w:tc>
          <w:tcPr>
            <w:tcW w:w="4149" w:type="dxa"/>
            <w:tcBorders>
              <w:top w:val="nil"/>
              <w:left w:val="nil"/>
              <w:bottom w:val="single" w:sz="4" w:space="0" w:color="auto"/>
              <w:right w:val="nil"/>
            </w:tcBorders>
            <w:hideMark/>
          </w:tcPr>
          <w:p w:rsidR="00130DBC" w:rsidRPr="00617AAF" w:rsidRDefault="00130DBC" w:rsidP="007F752C">
            <w:pPr>
              <w:spacing w:after="0" w:line="240" w:lineRule="auto"/>
              <w:jc w:val="center"/>
              <w:rPr>
                <w:rFonts w:ascii="Arial" w:eastAsia="Calibri" w:hAnsi="Arial" w:cs="Arial"/>
                <w:b/>
                <w:bCs/>
                <w:sz w:val="24"/>
                <w:szCs w:val="24"/>
                <w:lang w:val="fr-CI"/>
              </w:rPr>
            </w:pPr>
            <w:r w:rsidRPr="00617AAF">
              <w:rPr>
                <w:rFonts w:ascii="Arial" w:eastAsia="Calibri" w:hAnsi="Arial" w:cs="Arial"/>
                <w:b/>
                <w:noProof/>
                <w:sz w:val="24"/>
                <w:szCs w:val="24"/>
                <w:lang w:val="fr-FR" w:eastAsia="fr-FR"/>
              </w:rPr>
              <w:drawing>
                <wp:inline distT="0" distB="0" distL="0" distR="0" wp14:anchorId="2DBBDCDF" wp14:editId="1B15295C">
                  <wp:extent cx="11715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pic:spPr>
                      </pic:pic>
                    </a:graphicData>
                  </a:graphic>
                </wp:inline>
              </w:drawing>
            </w:r>
          </w:p>
        </w:tc>
        <w:tc>
          <w:tcPr>
            <w:tcW w:w="0" w:type="auto"/>
            <w:vMerge/>
            <w:tcBorders>
              <w:top w:val="nil"/>
              <w:left w:val="nil"/>
              <w:bottom w:val="single" w:sz="4" w:space="0" w:color="auto"/>
              <w:right w:val="nil"/>
            </w:tcBorders>
            <w:vAlign w:val="center"/>
            <w:hideMark/>
          </w:tcPr>
          <w:p w:rsidR="00130DBC" w:rsidRPr="00617AAF" w:rsidRDefault="00130DBC" w:rsidP="007F752C">
            <w:pPr>
              <w:spacing w:after="0" w:line="240" w:lineRule="auto"/>
              <w:jc w:val="center"/>
              <w:rPr>
                <w:rFonts w:ascii="Arial" w:eastAsia="Calibri" w:hAnsi="Arial" w:cs="Arial"/>
                <w:sz w:val="24"/>
                <w:szCs w:val="24"/>
                <w:lang w:val="fr-CI"/>
              </w:rPr>
            </w:pPr>
          </w:p>
        </w:tc>
        <w:tc>
          <w:tcPr>
            <w:tcW w:w="3286" w:type="dxa"/>
            <w:tcBorders>
              <w:top w:val="nil"/>
              <w:left w:val="nil"/>
              <w:bottom w:val="single" w:sz="4" w:space="0" w:color="auto"/>
              <w:right w:val="nil"/>
            </w:tcBorders>
          </w:tcPr>
          <w:p w:rsidR="00130DBC" w:rsidRPr="00617AAF" w:rsidRDefault="00130DBC" w:rsidP="007F752C">
            <w:pPr>
              <w:spacing w:after="0" w:line="240" w:lineRule="auto"/>
              <w:jc w:val="center"/>
              <w:rPr>
                <w:rFonts w:ascii="Arial" w:eastAsia="Calibri" w:hAnsi="Arial" w:cs="Arial"/>
                <w:b/>
                <w:bCs/>
                <w:sz w:val="24"/>
                <w:szCs w:val="24"/>
                <w:lang w:val="fr-CI"/>
              </w:rPr>
            </w:pPr>
          </w:p>
          <w:p w:rsidR="00130DBC" w:rsidRPr="00617AAF" w:rsidRDefault="00130DBC" w:rsidP="007F752C">
            <w:pPr>
              <w:keepNext/>
              <w:spacing w:after="0" w:line="240" w:lineRule="auto"/>
              <w:jc w:val="center"/>
              <w:outlineLvl w:val="3"/>
              <w:rPr>
                <w:rFonts w:ascii="Arial" w:eastAsia="Arial Unicode MS" w:hAnsi="Arial" w:cs="Arial"/>
                <w:b/>
                <w:bCs/>
                <w:sz w:val="24"/>
                <w:szCs w:val="24"/>
                <w:lang w:val="fr-CI"/>
              </w:rPr>
            </w:pPr>
            <w:r w:rsidRPr="00617AAF">
              <w:rPr>
                <w:rFonts w:ascii="Arial" w:eastAsia="Arial Unicode MS" w:hAnsi="Arial" w:cs="Arial"/>
                <w:b/>
                <w:bCs/>
                <w:sz w:val="24"/>
                <w:szCs w:val="24"/>
                <w:lang w:val="fr-CI"/>
              </w:rPr>
              <w:t>UNIÃO AFRICANA</w:t>
            </w:r>
          </w:p>
        </w:tc>
      </w:tr>
    </w:tbl>
    <w:p w:rsidR="00130DBC" w:rsidRPr="00617AAF" w:rsidRDefault="00130DBC" w:rsidP="00130DBC">
      <w:pPr>
        <w:spacing w:after="0" w:line="240" w:lineRule="auto"/>
        <w:rPr>
          <w:rFonts w:ascii="Arial" w:eastAsia="Calibri" w:hAnsi="Arial" w:cs="Arial"/>
          <w:sz w:val="24"/>
          <w:szCs w:val="24"/>
          <w:lang w:val="fr-CI"/>
        </w:rPr>
      </w:pPr>
    </w:p>
    <w:p w:rsidR="00130DBC" w:rsidRPr="00617AAF" w:rsidRDefault="00130DBC" w:rsidP="00130DBC">
      <w:pPr>
        <w:spacing w:after="0" w:line="240" w:lineRule="auto"/>
        <w:rPr>
          <w:rFonts w:ascii="Arial" w:eastAsia="Calibri" w:hAnsi="Arial" w:cs="Arial"/>
          <w:sz w:val="24"/>
          <w:szCs w:val="24"/>
          <w:lang w:val="fr-CI"/>
        </w:rPr>
      </w:pPr>
    </w:p>
    <w:p w:rsidR="00130DBC" w:rsidRPr="00617AAF" w:rsidRDefault="00130DBC" w:rsidP="00130DBC">
      <w:pPr>
        <w:spacing w:after="0" w:line="240" w:lineRule="auto"/>
        <w:rPr>
          <w:rFonts w:ascii="Arial" w:eastAsia="Calibri" w:hAnsi="Arial" w:cs="Arial"/>
          <w:sz w:val="24"/>
          <w:szCs w:val="24"/>
          <w:lang w:val="fr-CI"/>
        </w:rPr>
      </w:pPr>
    </w:p>
    <w:p w:rsidR="00130DBC" w:rsidRPr="00617AAF" w:rsidRDefault="00130DBC" w:rsidP="00130DBC">
      <w:pPr>
        <w:spacing w:after="0" w:line="240" w:lineRule="auto"/>
        <w:rPr>
          <w:rFonts w:ascii="Arial" w:eastAsia="Calibri" w:hAnsi="Arial" w:cs="Arial"/>
          <w:sz w:val="24"/>
          <w:szCs w:val="24"/>
          <w:lang w:val="fr-CI"/>
        </w:rPr>
      </w:pPr>
    </w:p>
    <w:p w:rsidR="00130DBC" w:rsidRPr="00617AAF" w:rsidRDefault="00130DBC" w:rsidP="00130DBC">
      <w:pPr>
        <w:spacing w:after="0" w:line="240" w:lineRule="auto"/>
        <w:rPr>
          <w:rFonts w:ascii="Arial" w:eastAsia="Calibri" w:hAnsi="Arial" w:cs="Arial"/>
          <w:sz w:val="24"/>
          <w:szCs w:val="24"/>
          <w:lang w:val="fr-CI"/>
        </w:rPr>
      </w:pPr>
    </w:p>
    <w:p w:rsidR="00130DBC" w:rsidRPr="00617AAF" w:rsidRDefault="00130DBC" w:rsidP="00130DBC">
      <w:pPr>
        <w:spacing w:after="0" w:line="240" w:lineRule="auto"/>
        <w:rPr>
          <w:rFonts w:ascii="Arial" w:eastAsia="Calibri" w:hAnsi="Arial" w:cs="Arial"/>
          <w:sz w:val="24"/>
          <w:szCs w:val="24"/>
          <w:lang w:val="fr-CI"/>
        </w:rPr>
      </w:pPr>
    </w:p>
    <w:p w:rsidR="00130DBC" w:rsidRPr="00617AAF" w:rsidRDefault="00130DBC" w:rsidP="00130DBC">
      <w:pPr>
        <w:spacing w:after="0" w:line="240" w:lineRule="auto"/>
        <w:jc w:val="center"/>
        <w:rPr>
          <w:rFonts w:ascii="Arial" w:hAnsi="Arial" w:cs="Arial"/>
          <w:b/>
          <w:sz w:val="24"/>
          <w:szCs w:val="24"/>
          <w:u w:val="single"/>
          <w:lang w:val="fr-CI"/>
        </w:rPr>
      </w:pPr>
    </w:p>
    <w:p w:rsidR="00130DBC" w:rsidRPr="00617AAF" w:rsidRDefault="00130DBC" w:rsidP="00130DBC">
      <w:pPr>
        <w:spacing w:after="0" w:line="240" w:lineRule="auto"/>
        <w:jc w:val="center"/>
        <w:rPr>
          <w:rFonts w:ascii="Arial" w:hAnsi="Arial" w:cs="Arial"/>
          <w:b/>
          <w:sz w:val="24"/>
          <w:szCs w:val="24"/>
          <w:u w:val="single"/>
          <w:lang w:val="fr-CI"/>
        </w:rPr>
      </w:pPr>
    </w:p>
    <w:p w:rsidR="00130DBC" w:rsidRPr="00617AAF" w:rsidRDefault="00130DBC" w:rsidP="00130DBC">
      <w:pPr>
        <w:spacing w:after="0" w:line="240" w:lineRule="auto"/>
        <w:jc w:val="center"/>
        <w:rPr>
          <w:rFonts w:ascii="Arial" w:hAnsi="Arial" w:cs="Arial"/>
          <w:b/>
          <w:sz w:val="24"/>
          <w:szCs w:val="24"/>
          <w:u w:val="single"/>
          <w:lang w:val="fr-CI"/>
        </w:rPr>
      </w:pPr>
    </w:p>
    <w:p w:rsidR="00130DBC" w:rsidRPr="00617AAF" w:rsidRDefault="00130DBC" w:rsidP="00130DBC">
      <w:pPr>
        <w:spacing w:after="0" w:line="240" w:lineRule="auto"/>
        <w:jc w:val="center"/>
        <w:rPr>
          <w:rFonts w:ascii="Arial" w:hAnsi="Arial" w:cs="Arial"/>
          <w:b/>
          <w:sz w:val="24"/>
          <w:szCs w:val="24"/>
          <w:u w:val="single"/>
          <w:lang w:val="fr-CI"/>
        </w:rPr>
      </w:pPr>
    </w:p>
    <w:p w:rsidR="00130DBC" w:rsidRPr="007F752C" w:rsidRDefault="00130DBC" w:rsidP="00130DBC">
      <w:pPr>
        <w:spacing w:after="0" w:line="240" w:lineRule="auto"/>
        <w:jc w:val="center"/>
        <w:rPr>
          <w:rFonts w:ascii="Arial" w:hAnsi="Arial" w:cs="Arial"/>
          <w:b/>
          <w:sz w:val="28"/>
          <w:szCs w:val="24"/>
          <w:u w:val="single"/>
          <w:lang w:val="fr-CI"/>
        </w:rPr>
      </w:pPr>
    </w:p>
    <w:p w:rsidR="00130DBC" w:rsidRPr="007F752C" w:rsidRDefault="00130DBC" w:rsidP="00130DBC">
      <w:pPr>
        <w:spacing w:after="0" w:line="240" w:lineRule="auto"/>
        <w:jc w:val="center"/>
        <w:rPr>
          <w:rFonts w:ascii="Arial" w:hAnsi="Arial" w:cs="Arial"/>
          <w:b/>
          <w:sz w:val="28"/>
          <w:szCs w:val="24"/>
          <w:u w:val="single"/>
          <w:lang w:val="fr-CI"/>
        </w:rPr>
      </w:pPr>
    </w:p>
    <w:p w:rsidR="00130DBC" w:rsidRPr="007F752C" w:rsidRDefault="00130DBC" w:rsidP="00130DBC">
      <w:pPr>
        <w:spacing w:after="0" w:line="240" w:lineRule="auto"/>
        <w:jc w:val="center"/>
        <w:rPr>
          <w:rFonts w:ascii="Arial" w:hAnsi="Arial" w:cs="Arial"/>
          <w:b/>
          <w:sz w:val="28"/>
          <w:szCs w:val="24"/>
          <w:u w:val="single"/>
          <w:lang w:val="fr-CI"/>
        </w:rPr>
      </w:pPr>
    </w:p>
    <w:p w:rsidR="007F752C" w:rsidRDefault="007F752C" w:rsidP="00130DBC">
      <w:pPr>
        <w:spacing w:after="0" w:line="240" w:lineRule="auto"/>
        <w:jc w:val="center"/>
        <w:rPr>
          <w:rFonts w:ascii="Arial" w:eastAsia="Times New Roman" w:hAnsi="Arial" w:cs="Arial"/>
          <w:b/>
          <w:bCs/>
          <w:color w:val="000000"/>
          <w:sz w:val="28"/>
          <w:szCs w:val="24"/>
          <w:lang w:val="fr-CI"/>
        </w:rPr>
      </w:pPr>
    </w:p>
    <w:p w:rsidR="007F752C" w:rsidRDefault="007F752C" w:rsidP="00130DBC">
      <w:pPr>
        <w:spacing w:after="0" w:line="240" w:lineRule="auto"/>
        <w:jc w:val="center"/>
        <w:rPr>
          <w:rFonts w:ascii="Arial" w:eastAsia="Times New Roman" w:hAnsi="Arial" w:cs="Arial"/>
          <w:b/>
          <w:bCs/>
          <w:color w:val="000000"/>
          <w:sz w:val="28"/>
          <w:szCs w:val="24"/>
          <w:lang w:val="fr-CI"/>
        </w:rPr>
      </w:pPr>
    </w:p>
    <w:p w:rsidR="007F752C" w:rsidRDefault="007F752C" w:rsidP="00130DBC">
      <w:pPr>
        <w:spacing w:after="0" w:line="240" w:lineRule="auto"/>
        <w:jc w:val="center"/>
        <w:rPr>
          <w:rFonts w:ascii="Arial" w:eastAsia="Times New Roman" w:hAnsi="Arial" w:cs="Arial"/>
          <w:b/>
          <w:bCs/>
          <w:color w:val="000000"/>
          <w:sz w:val="28"/>
          <w:szCs w:val="24"/>
          <w:lang w:val="fr-CI"/>
        </w:rPr>
      </w:pPr>
    </w:p>
    <w:p w:rsidR="007F752C" w:rsidRDefault="007F752C" w:rsidP="00130DBC">
      <w:pPr>
        <w:spacing w:after="0" w:line="240" w:lineRule="auto"/>
        <w:jc w:val="center"/>
        <w:rPr>
          <w:rFonts w:ascii="Arial" w:eastAsia="Times New Roman" w:hAnsi="Arial" w:cs="Arial"/>
          <w:b/>
          <w:bCs/>
          <w:color w:val="000000"/>
          <w:sz w:val="28"/>
          <w:szCs w:val="24"/>
          <w:lang w:val="fr-CI"/>
        </w:rPr>
      </w:pPr>
    </w:p>
    <w:p w:rsidR="007F752C" w:rsidRDefault="007F752C" w:rsidP="00130DBC">
      <w:pPr>
        <w:spacing w:after="0" w:line="240" w:lineRule="auto"/>
        <w:jc w:val="center"/>
        <w:rPr>
          <w:rFonts w:ascii="Arial" w:eastAsia="Times New Roman" w:hAnsi="Arial" w:cs="Arial"/>
          <w:b/>
          <w:bCs/>
          <w:color w:val="000000"/>
          <w:sz w:val="28"/>
          <w:szCs w:val="24"/>
          <w:lang w:val="fr-CI"/>
        </w:rPr>
      </w:pPr>
    </w:p>
    <w:p w:rsidR="007F752C" w:rsidRDefault="00130DBC" w:rsidP="00130DBC">
      <w:pPr>
        <w:spacing w:after="0" w:line="240" w:lineRule="auto"/>
        <w:jc w:val="center"/>
        <w:rPr>
          <w:rFonts w:ascii="Arial" w:eastAsia="Times New Roman" w:hAnsi="Arial" w:cs="Arial"/>
          <w:color w:val="000000"/>
          <w:sz w:val="28"/>
          <w:szCs w:val="24"/>
          <w:lang w:val="fr-CI"/>
        </w:rPr>
      </w:pPr>
      <w:r w:rsidRPr="007F752C">
        <w:rPr>
          <w:rFonts w:ascii="Arial" w:eastAsia="Times New Roman" w:hAnsi="Arial" w:cs="Arial"/>
          <w:b/>
          <w:bCs/>
          <w:color w:val="000000"/>
          <w:sz w:val="28"/>
          <w:szCs w:val="24"/>
          <w:lang w:val="fr-CI"/>
        </w:rPr>
        <w:t>NOTE D’INFORMATION SUR LA</w:t>
      </w:r>
      <w:r w:rsidR="007F752C">
        <w:rPr>
          <w:rFonts w:ascii="Arial" w:eastAsia="Times New Roman" w:hAnsi="Arial" w:cs="Arial"/>
          <w:b/>
          <w:bCs/>
          <w:color w:val="000000"/>
          <w:sz w:val="28"/>
          <w:szCs w:val="24"/>
          <w:lang w:val="fr-CI"/>
        </w:rPr>
        <w:t xml:space="preserve"> </w:t>
      </w:r>
      <w:r w:rsidRPr="007F752C">
        <w:rPr>
          <w:rFonts w:ascii="Arial" w:eastAsia="Times New Roman" w:hAnsi="Arial" w:cs="Arial"/>
          <w:b/>
          <w:bCs/>
          <w:color w:val="000000"/>
          <w:sz w:val="28"/>
          <w:szCs w:val="24"/>
          <w:lang w:val="fr-CI"/>
        </w:rPr>
        <w:t>62</w:t>
      </w:r>
      <w:r w:rsidRPr="007F752C">
        <w:rPr>
          <w:rFonts w:ascii="Arial" w:eastAsia="Times New Roman" w:hAnsi="Arial" w:cs="Arial"/>
          <w:b/>
          <w:bCs/>
          <w:color w:val="000000"/>
          <w:sz w:val="28"/>
          <w:szCs w:val="24"/>
          <w:vertAlign w:val="superscript"/>
          <w:lang w:val="fr-CI"/>
        </w:rPr>
        <w:t>ème</w:t>
      </w:r>
      <w:r w:rsidRPr="007F752C">
        <w:rPr>
          <w:rFonts w:ascii="Arial" w:eastAsia="Times New Roman" w:hAnsi="Arial" w:cs="Arial"/>
          <w:color w:val="000000"/>
          <w:sz w:val="28"/>
          <w:szCs w:val="24"/>
          <w:lang w:val="fr-CI"/>
        </w:rPr>
        <w:t xml:space="preserve"> </w:t>
      </w:r>
      <w:r w:rsidRPr="007F752C">
        <w:rPr>
          <w:rFonts w:ascii="Arial" w:eastAsia="Times New Roman" w:hAnsi="Arial" w:cs="Arial"/>
          <w:b/>
          <w:bCs/>
          <w:color w:val="000000"/>
          <w:sz w:val="28"/>
          <w:szCs w:val="24"/>
          <w:lang w:val="fr-CI"/>
        </w:rPr>
        <w:t>SESSION</w:t>
      </w:r>
    </w:p>
    <w:p w:rsidR="00130DBC" w:rsidRPr="007F752C" w:rsidRDefault="00130DBC" w:rsidP="00130DBC">
      <w:pPr>
        <w:spacing w:after="0" w:line="240" w:lineRule="auto"/>
        <w:jc w:val="center"/>
        <w:rPr>
          <w:rFonts w:ascii="Arial" w:eastAsia="Times New Roman" w:hAnsi="Arial" w:cs="Arial"/>
          <w:color w:val="000000"/>
          <w:sz w:val="28"/>
          <w:szCs w:val="24"/>
          <w:lang w:val="fr-CI"/>
        </w:rPr>
      </w:pPr>
      <w:r w:rsidRPr="007F752C">
        <w:rPr>
          <w:rFonts w:ascii="Arial" w:eastAsia="Times New Roman" w:hAnsi="Arial" w:cs="Arial"/>
          <w:b/>
          <w:bCs/>
          <w:color w:val="000000"/>
          <w:sz w:val="28"/>
          <w:szCs w:val="24"/>
          <w:lang w:val="fr-CI"/>
        </w:rPr>
        <w:t>DE LA</w:t>
      </w:r>
      <w:r w:rsidRPr="007F752C">
        <w:rPr>
          <w:rFonts w:ascii="Arial" w:eastAsia="Times New Roman" w:hAnsi="Arial" w:cs="Arial"/>
          <w:color w:val="000000"/>
          <w:sz w:val="28"/>
          <w:szCs w:val="24"/>
          <w:lang w:val="fr-CI"/>
        </w:rPr>
        <w:t xml:space="preserve"> </w:t>
      </w:r>
      <w:r w:rsidRPr="007F752C">
        <w:rPr>
          <w:rFonts w:ascii="Arial" w:eastAsia="Times New Roman" w:hAnsi="Arial" w:cs="Arial"/>
          <w:b/>
          <w:bCs/>
          <w:color w:val="000000"/>
          <w:sz w:val="28"/>
          <w:szCs w:val="24"/>
          <w:lang w:val="fr-CI"/>
        </w:rPr>
        <w:t>COMMISSION SUR LA CONDITION DE LA FEMME (CSW 62)</w:t>
      </w:r>
    </w:p>
    <w:p w:rsidR="007F752C" w:rsidRDefault="007F752C">
      <w:pPr>
        <w:rPr>
          <w:rFonts w:ascii="Arial" w:eastAsia="Times New Roman" w:hAnsi="Arial" w:cs="Arial"/>
          <w:color w:val="000000"/>
          <w:sz w:val="24"/>
          <w:szCs w:val="24"/>
          <w:lang w:val="fr-CI"/>
        </w:rPr>
      </w:pPr>
      <w:r>
        <w:rPr>
          <w:rFonts w:ascii="Arial" w:eastAsia="Times New Roman" w:hAnsi="Arial" w:cs="Arial"/>
          <w:color w:val="000000"/>
          <w:sz w:val="24"/>
          <w:szCs w:val="24"/>
          <w:lang w:val="fr-CI"/>
        </w:rPr>
        <w:br w:type="page"/>
      </w:r>
    </w:p>
    <w:p w:rsidR="00130DBC" w:rsidRPr="00617AAF" w:rsidRDefault="00130DBC" w:rsidP="00130DBC">
      <w:pPr>
        <w:spacing w:after="0" w:line="240" w:lineRule="auto"/>
        <w:jc w:val="center"/>
        <w:rPr>
          <w:rFonts w:ascii="Arial" w:eastAsia="Times New Roman" w:hAnsi="Arial" w:cs="Arial"/>
          <w:color w:val="000000"/>
          <w:sz w:val="24"/>
          <w:szCs w:val="24"/>
          <w:lang w:val="fr-CI"/>
        </w:rPr>
      </w:pPr>
    </w:p>
    <w:p w:rsidR="00130DBC" w:rsidRPr="00617AAF" w:rsidRDefault="00130DBC" w:rsidP="00D20F10">
      <w:pPr>
        <w:pStyle w:val="ListParagraph"/>
        <w:numPr>
          <w:ilvl w:val="0"/>
          <w:numId w:val="1"/>
        </w:numPr>
        <w:shd w:val="clear" w:color="auto" w:fill="FFFFFF"/>
        <w:spacing w:after="0" w:line="240" w:lineRule="auto"/>
        <w:ind w:left="709" w:hanging="709"/>
        <w:jc w:val="both"/>
        <w:textAlignment w:val="baseline"/>
        <w:rPr>
          <w:rFonts w:ascii="Arial" w:eastAsia="Times New Roman" w:hAnsi="Arial" w:cs="Arial"/>
          <w:b/>
          <w:bCs/>
          <w:color w:val="000000"/>
          <w:sz w:val="24"/>
          <w:szCs w:val="24"/>
          <w:lang w:val="fr-CI"/>
        </w:rPr>
      </w:pPr>
      <w:r w:rsidRPr="00617AAF">
        <w:rPr>
          <w:rFonts w:ascii="Arial" w:eastAsia="Times New Roman" w:hAnsi="Arial" w:cs="Arial"/>
          <w:b/>
          <w:sz w:val="24"/>
          <w:szCs w:val="24"/>
          <w:lang w:val="fr-CI" w:eastAsia="en-ZW"/>
        </w:rPr>
        <w:t>Introduction</w:t>
      </w:r>
    </w:p>
    <w:p w:rsidR="00130DBC" w:rsidRPr="00617AAF" w:rsidRDefault="00130DBC" w:rsidP="00130DBC">
      <w:pPr>
        <w:shd w:val="clear" w:color="auto" w:fill="FFFFFF"/>
        <w:spacing w:after="0" w:line="240" w:lineRule="auto"/>
        <w:jc w:val="both"/>
        <w:rPr>
          <w:rFonts w:ascii="Arial" w:eastAsia="Times New Roman" w:hAnsi="Arial" w:cs="Arial"/>
          <w:color w:val="000000"/>
          <w:sz w:val="24"/>
          <w:szCs w:val="24"/>
          <w:lang w:val="fr-CI"/>
        </w:rPr>
      </w:pPr>
      <w:r w:rsidRPr="00617AAF">
        <w:rPr>
          <w:rFonts w:ascii="Arial" w:eastAsia="Times New Roman" w:hAnsi="Arial" w:cs="Arial"/>
          <w:color w:val="000000"/>
          <w:sz w:val="24"/>
          <w:szCs w:val="24"/>
          <w:lang w:val="fr-CI"/>
        </w:rPr>
        <w:t xml:space="preserve"> </w:t>
      </w:r>
    </w:p>
    <w:p w:rsidR="00130DBC" w:rsidRPr="00617AAF" w:rsidRDefault="00130DBC" w:rsidP="00130DBC">
      <w:pPr>
        <w:shd w:val="clear" w:color="auto" w:fill="FFFFFF"/>
        <w:spacing w:after="0" w:line="240" w:lineRule="auto"/>
        <w:jc w:val="both"/>
        <w:rPr>
          <w:rFonts w:ascii="Arial" w:eastAsia="Times New Roman" w:hAnsi="Arial" w:cs="Arial"/>
          <w:color w:val="000000"/>
          <w:sz w:val="24"/>
          <w:szCs w:val="24"/>
          <w:lang w:val="fr-CI"/>
        </w:rPr>
      </w:pPr>
      <w:r w:rsidRPr="00617AAF">
        <w:rPr>
          <w:rFonts w:ascii="Arial" w:eastAsia="Times New Roman" w:hAnsi="Arial" w:cs="Arial"/>
          <w:color w:val="000000"/>
          <w:sz w:val="24"/>
          <w:szCs w:val="24"/>
          <w:lang w:val="fr-CI"/>
        </w:rPr>
        <w:t xml:space="preserve">La Commission de la condition de la femme (CSW) est le principal organe intergouvernemental mondial exclusivement consacré à la promotion de l’égalité homme-femme et à l’autonomisation des femmes. Une commission fonctionnelle du Conseil économique et social (ECOSOC) a été créée par la Résolution 11 (II) du Conseil du 21 juin 1946. La CSW contribue à la promotion des droits des femmes, documente la réalité de la vie des femmes à travers le monde et façonne les normes mondiales en matière d’égalité homme-femme et d’autonomisation des femmes. </w:t>
      </w:r>
      <w:r w:rsidRPr="00617AAF">
        <w:rPr>
          <w:rFonts w:ascii="Arial" w:eastAsia="Times New Roman" w:hAnsi="Arial" w:cs="Arial"/>
          <w:color w:val="000000"/>
          <w:sz w:val="24"/>
          <w:szCs w:val="24"/>
          <w:shd w:val="clear" w:color="auto" w:fill="FFFFFF"/>
          <w:lang w:val="fr-CI"/>
        </w:rPr>
        <w:t>Après l’adoption de l’Agenda 2030 pour le développement durable en 2015, la Commission contribue désormais au suivi de l’Agenda 2030 pour le développement durable afin d’accélérer la réalisation de l’égalité homme-femme et l’autonomisation des femmes (résolution 2015/6 du Conseil).</w:t>
      </w:r>
      <w:r w:rsidRPr="00617AAF">
        <w:rPr>
          <w:rFonts w:ascii="Arial" w:eastAsia="Times New Roman" w:hAnsi="Arial" w:cs="Arial"/>
          <w:color w:val="000000"/>
          <w:sz w:val="24"/>
          <w:szCs w:val="24"/>
          <w:lang w:val="fr-CI"/>
        </w:rPr>
        <w:t xml:space="preserve"> Cette plate-forme mondiale renforce l’Agenda 2063 et l’Acte constitutif de l’UA, qui engagent l’Afrique à promouvoir l’égalité homme-femme et l’autonomisation des femmes et en fait une condition préalable à la réalisation des objectifs de développement du continent.</w:t>
      </w:r>
    </w:p>
    <w:p w:rsidR="00130DBC" w:rsidRPr="00617AAF" w:rsidRDefault="00130DBC" w:rsidP="00130DBC">
      <w:pPr>
        <w:shd w:val="clear" w:color="auto" w:fill="FFFFFF"/>
        <w:spacing w:after="0" w:line="240" w:lineRule="auto"/>
        <w:jc w:val="both"/>
        <w:rPr>
          <w:rFonts w:ascii="Arial" w:eastAsia="Times New Roman" w:hAnsi="Arial" w:cs="Arial"/>
          <w:color w:val="000000"/>
          <w:sz w:val="24"/>
          <w:szCs w:val="24"/>
          <w:lang w:val="fr-CI"/>
        </w:rPr>
      </w:pPr>
    </w:p>
    <w:p w:rsidR="00130DBC" w:rsidRPr="00617AAF" w:rsidRDefault="00130DBC" w:rsidP="00130DBC">
      <w:pPr>
        <w:shd w:val="clear" w:color="auto" w:fill="FFFFFF"/>
        <w:spacing w:after="0" w:line="240" w:lineRule="auto"/>
        <w:jc w:val="both"/>
        <w:rPr>
          <w:rFonts w:ascii="Arial" w:eastAsia="Times New Roman" w:hAnsi="Arial" w:cs="Arial"/>
          <w:color w:val="000000"/>
          <w:sz w:val="24"/>
          <w:szCs w:val="24"/>
          <w:lang w:val="fr-CI"/>
        </w:rPr>
      </w:pPr>
      <w:r w:rsidRPr="00617AAF">
        <w:rPr>
          <w:rFonts w:ascii="Arial" w:eastAsia="Times New Roman" w:hAnsi="Arial" w:cs="Arial"/>
          <w:color w:val="000000"/>
          <w:sz w:val="24"/>
          <w:szCs w:val="24"/>
          <w:lang w:val="fr-CI"/>
        </w:rPr>
        <w:t>La Commission adopte les</w:t>
      </w:r>
      <w:r w:rsidRPr="00617AAF">
        <w:rPr>
          <w:lang w:val="fr-CI"/>
        </w:rPr>
        <w:t xml:space="preserve"> </w:t>
      </w:r>
      <w:r w:rsidRPr="00617AAF">
        <w:rPr>
          <w:rFonts w:ascii="Arial" w:eastAsia="Times New Roman" w:hAnsi="Arial" w:cs="Arial"/>
          <w:color w:val="000000"/>
          <w:sz w:val="24"/>
          <w:szCs w:val="24"/>
          <w:lang w:val="fr-CI"/>
        </w:rPr>
        <w:t>programmes de travail pluriannuels pour évaluer les progrès accomplis et formuler d’autres recommandations pour accélérer la mise en œuvre de la Plateforme d’action de Beijing. Ces recommandations prennent la forme de conclusions négociées convenues sur un thème prioritaire. Les Conclusions convenues servent également de document final de chaque session et sont utilisées pour définir les politiques et les pratiques mondiales en matière d’égalité homme-femme et d’autonomisation des femmes.</w:t>
      </w:r>
    </w:p>
    <w:p w:rsidR="00130DBC" w:rsidRPr="00617AAF" w:rsidRDefault="00130DBC" w:rsidP="00130DBC">
      <w:pPr>
        <w:shd w:val="clear" w:color="auto" w:fill="FFFFFF"/>
        <w:spacing w:after="0" w:line="240" w:lineRule="auto"/>
        <w:jc w:val="both"/>
        <w:rPr>
          <w:rFonts w:ascii="Arial" w:eastAsia="Times New Roman" w:hAnsi="Arial" w:cs="Arial"/>
          <w:color w:val="000000"/>
          <w:sz w:val="24"/>
          <w:szCs w:val="24"/>
          <w:lang w:val="fr-CI"/>
        </w:rPr>
      </w:pPr>
    </w:p>
    <w:p w:rsidR="00130DBC" w:rsidRPr="00617AAF" w:rsidRDefault="00130DBC" w:rsidP="00130DBC">
      <w:pPr>
        <w:shd w:val="clear" w:color="auto" w:fill="FFFFFF"/>
        <w:spacing w:after="0" w:line="240" w:lineRule="auto"/>
        <w:jc w:val="both"/>
        <w:rPr>
          <w:rFonts w:ascii="Arial" w:eastAsia="Times New Roman" w:hAnsi="Arial" w:cs="Arial"/>
          <w:color w:val="000000"/>
          <w:sz w:val="24"/>
          <w:szCs w:val="24"/>
          <w:lang w:val="fr-CI"/>
        </w:rPr>
      </w:pPr>
      <w:r w:rsidRPr="00617AAF">
        <w:rPr>
          <w:rFonts w:ascii="Arial" w:eastAsia="Times New Roman" w:hAnsi="Arial" w:cs="Arial"/>
          <w:color w:val="000000"/>
          <w:sz w:val="24"/>
          <w:szCs w:val="24"/>
          <w:lang w:val="fr-CI"/>
        </w:rPr>
        <w:t>Les sessions annuelles de la CSW portent sur un thème spécifique pertinent pour les questions structurelles et émergente</w:t>
      </w:r>
      <w:r>
        <w:rPr>
          <w:rFonts w:ascii="Arial" w:eastAsia="Times New Roman" w:hAnsi="Arial" w:cs="Arial"/>
          <w:color w:val="000000"/>
          <w:sz w:val="24"/>
          <w:szCs w:val="24"/>
          <w:lang w:val="fr-CI"/>
        </w:rPr>
        <w:t>s</w:t>
      </w:r>
      <w:r w:rsidRPr="00617AAF">
        <w:rPr>
          <w:rFonts w:ascii="Arial" w:eastAsia="Times New Roman" w:hAnsi="Arial" w:cs="Arial"/>
          <w:color w:val="000000"/>
          <w:sz w:val="24"/>
          <w:szCs w:val="24"/>
          <w:lang w:val="fr-CI"/>
        </w:rPr>
        <w:t xml:space="preserve"> relatives à l’égalité homme-femme et aux problèmes des femmes dans le monde. En 2018, la CSW se réunira sous le thème </w:t>
      </w:r>
      <w:proofErr w:type="gramStart"/>
      <w:r w:rsidRPr="00617AAF">
        <w:rPr>
          <w:rFonts w:ascii="Arial" w:eastAsia="Times New Roman" w:hAnsi="Arial" w:cs="Arial"/>
          <w:color w:val="000000"/>
          <w:sz w:val="24"/>
          <w:szCs w:val="24"/>
          <w:lang w:val="fr-CI"/>
        </w:rPr>
        <w:t>prioritaire</w:t>
      </w:r>
      <w:proofErr w:type="gramEnd"/>
      <w:r w:rsidRPr="00617AAF">
        <w:rPr>
          <w:rFonts w:ascii="Arial" w:eastAsia="Times New Roman" w:hAnsi="Arial" w:cs="Arial"/>
          <w:color w:val="000000"/>
          <w:sz w:val="24"/>
          <w:szCs w:val="24"/>
          <w:lang w:val="fr-CI"/>
        </w:rPr>
        <w:t xml:space="preserve"> « </w:t>
      </w:r>
      <w:r w:rsidRPr="00617AAF">
        <w:rPr>
          <w:rFonts w:ascii="Arial" w:eastAsia="Times New Roman" w:hAnsi="Arial" w:cs="Arial"/>
          <w:i/>
          <w:iCs/>
          <w:color w:val="000000"/>
          <w:sz w:val="24"/>
          <w:szCs w:val="24"/>
          <w:lang w:val="fr-CI"/>
        </w:rPr>
        <w:t>Défis et opportunités liés à la réalisation de l’égalité homme-femme et à l’autonomisation des femmes et</w:t>
      </w:r>
      <w:r w:rsidRPr="00617AAF">
        <w:rPr>
          <w:rFonts w:ascii="Arial" w:eastAsia="Times New Roman" w:hAnsi="Arial" w:cs="Arial"/>
          <w:color w:val="000000"/>
          <w:sz w:val="24"/>
          <w:szCs w:val="24"/>
          <w:lang w:val="fr-CI"/>
        </w:rPr>
        <w:t xml:space="preserve"> </w:t>
      </w:r>
      <w:r w:rsidRPr="00617AAF">
        <w:rPr>
          <w:rFonts w:ascii="Arial" w:eastAsia="Times New Roman" w:hAnsi="Arial" w:cs="Arial"/>
          <w:i/>
          <w:color w:val="000000"/>
          <w:sz w:val="24"/>
          <w:szCs w:val="24"/>
          <w:lang w:val="fr-CI"/>
        </w:rPr>
        <w:t>des</w:t>
      </w:r>
      <w:r w:rsidRPr="00617AAF">
        <w:rPr>
          <w:rFonts w:ascii="Arial" w:eastAsia="Times New Roman" w:hAnsi="Arial" w:cs="Arial"/>
          <w:color w:val="000000"/>
          <w:sz w:val="24"/>
          <w:szCs w:val="24"/>
          <w:lang w:val="fr-CI"/>
        </w:rPr>
        <w:t xml:space="preserve"> </w:t>
      </w:r>
      <w:r w:rsidRPr="00617AAF">
        <w:rPr>
          <w:rFonts w:ascii="Arial" w:eastAsia="Times New Roman" w:hAnsi="Arial" w:cs="Arial"/>
          <w:i/>
          <w:iCs/>
          <w:color w:val="000000"/>
          <w:sz w:val="24"/>
          <w:szCs w:val="24"/>
          <w:lang w:val="fr-CI"/>
        </w:rPr>
        <w:t>filles</w:t>
      </w:r>
      <w:r w:rsidRPr="00617AAF">
        <w:rPr>
          <w:rFonts w:ascii="Arial" w:eastAsia="Times New Roman" w:hAnsi="Arial" w:cs="Arial"/>
          <w:color w:val="000000"/>
          <w:sz w:val="24"/>
          <w:szCs w:val="24"/>
          <w:lang w:val="fr-CI"/>
        </w:rPr>
        <w:t xml:space="preserve"> </w:t>
      </w:r>
      <w:r w:rsidRPr="00617AAF">
        <w:rPr>
          <w:rFonts w:ascii="Arial" w:eastAsia="Times New Roman" w:hAnsi="Arial" w:cs="Arial"/>
          <w:i/>
          <w:color w:val="000000"/>
          <w:sz w:val="24"/>
          <w:szCs w:val="24"/>
          <w:lang w:val="fr-CI"/>
        </w:rPr>
        <w:t xml:space="preserve">vivant en milieu </w:t>
      </w:r>
      <w:r w:rsidRPr="00617AAF">
        <w:rPr>
          <w:rFonts w:ascii="Arial" w:eastAsia="Times New Roman" w:hAnsi="Arial" w:cs="Arial"/>
          <w:i/>
          <w:iCs/>
          <w:color w:val="000000"/>
          <w:sz w:val="24"/>
          <w:szCs w:val="24"/>
          <w:lang w:val="fr-CI"/>
        </w:rPr>
        <w:t xml:space="preserve">rural </w:t>
      </w:r>
      <w:r w:rsidRPr="00617AAF">
        <w:rPr>
          <w:rFonts w:ascii="Arial" w:eastAsia="Times New Roman" w:hAnsi="Arial" w:cs="Arial"/>
          <w:color w:val="000000"/>
          <w:sz w:val="24"/>
          <w:szCs w:val="24"/>
          <w:lang w:val="fr-CI"/>
        </w:rPr>
        <w:t xml:space="preserve">» et le thème d’évaluation est comme suit : </w:t>
      </w:r>
      <w:r w:rsidRPr="00617AAF">
        <w:rPr>
          <w:rFonts w:ascii="Arial" w:eastAsia="Times New Roman" w:hAnsi="Arial" w:cs="Arial"/>
          <w:i/>
          <w:color w:val="000000"/>
          <w:sz w:val="24"/>
          <w:szCs w:val="24"/>
          <w:lang w:val="fr-CI"/>
        </w:rPr>
        <w:t>« P</w:t>
      </w:r>
      <w:r w:rsidRPr="00617AAF">
        <w:rPr>
          <w:rFonts w:ascii="Arial" w:eastAsia="Times New Roman" w:hAnsi="Arial" w:cs="Arial"/>
          <w:i/>
          <w:iCs/>
          <w:color w:val="000000"/>
          <w:sz w:val="24"/>
          <w:szCs w:val="24"/>
          <w:lang w:val="fr-CI"/>
        </w:rPr>
        <w:t>articipation et</w:t>
      </w:r>
      <w:r w:rsidRPr="00617AAF">
        <w:rPr>
          <w:rFonts w:ascii="Arial" w:eastAsia="Times New Roman" w:hAnsi="Arial" w:cs="Arial"/>
          <w:i/>
          <w:color w:val="000000"/>
          <w:sz w:val="24"/>
          <w:szCs w:val="24"/>
          <w:lang w:val="fr-CI"/>
        </w:rPr>
        <w:t xml:space="preserve"> </w:t>
      </w:r>
      <w:r w:rsidRPr="00617AAF">
        <w:rPr>
          <w:rFonts w:ascii="Arial" w:eastAsia="Times New Roman" w:hAnsi="Arial" w:cs="Arial"/>
          <w:i/>
          <w:iCs/>
          <w:color w:val="000000"/>
          <w:sz w:val="24"/>
          <w:szCs w:val="24"/>
          <w:lang w:val="fr-CI"/>
        </w:rPr>
        <w:t>accès des femmes aux médias et</w:t>
      </w:r>
      <w:r w:rsidRPr="00617AAF">
        <w:rPr>
          <w:rFonts w:ascii="Arial" w:eastAsia="Times New Roman" w:hAnsi="Arial" w:cs="Arial"/>
          <w:i/>
          <w:color w:val="000000"/>
          <w:sz w:val="24"/>
          <w:szCs w:val="24"/>
          <w:lang w:val="fr-CI"/>
        </w:rPr>
        <w:t xml:space="preserve"> aux technologies de l’</w:t>
      </w:r>
      <w:r w:rsidRPr="00617AAF">
        <w:rPr>
          <w:rFonts w:ascii="Arial" w:eastAsia="Times New Roman" w:hAnsi="Arial" w:cs="Arial"/>
          <w:i/>
          <w:iCs/>
          <w:color w:val="000000"/>
          <w:sz w:val="24"/>
          <w:szCs w:val="24"/>
          <w:lang w:val="fr-CI"/>
        </w:rPr>
        <w:t>information et de la communication, et impact et</w:t>
      </w:r>
      <w:r w:rsidRPr="00617AAF">
        <w:rPr>
          <w:rFonts w:ascii="Arial" w:eastAsia="Times New Roman" w:hAnsi="Arial" w:cs="Arial"/>
          <w:i/>
          <w:color w:val="000000"/>
          <w:sz w:val="24"/>
          <w:szCs w:val="24"/>
          <w:lang w:val="fr-CI"/>
        </w:rPr>
        <w:t xml:space="preserve"> </w:t>
      </w:r>
      <w:r w:rsidRPr="00617AAF">
        <w:rPr>
          <w:rFonts w:ascii="Arial" w:eastAsia="Times New Roman" w:hAnsi="Arial" w:cs="Arial"/>
          <w:i/>
          <w:iCs/>
          <w:color w:val="000000"/>
          <w:sz w:val="24"/>
          <w:szCs w:val="24"/>
          <w:lang w:val="fr-CI"/>
        </w:rPr>
        <w:t>utilisation de ceux-ci comme instrument pour la promotion et</w:t>
      </w:r>
      <w:r w:rsidRPr="00617AAF">
        <w:rPr>
          <w:rFonts w:ascii="Arial" w:eastAsia="Times New Roman" w:hAnsi="Arial" w:cs="Arial"/>
          <w:i/>
          <w:color w:val="000000"/>
          <w:sz w:val="24"/>
          <w:szCs w:val="24"/>
          <w:lang w:val="fr-CI"/>
        </w:rPr>
        <w:t xml:space="preserve"> l’</w:t>
      </w:r>
      <w:r w:rsidRPr="00617AAF">
        <w:rPr>
          <w:rFonts w:ascii="Arial" w:eastAsia="Times New Roman" w:hAnsi="Arial" w:cs="Arial"/>
          <w:i/>
          <w:iCs/>
          <w:color w:val="000000"/>
          <w:sz w:val="24"/>
          <w:szCs w:val="24"/>
          <w:lang w:val="fr-CI"/>
        </w:rPr>
        <w:t>autonomisation des femmes</w:t>
      </w:r>
      <w:r w:rsidRPr="00617AAF">
        <w:rPr>
          <w:rFonts w:ascii="Arial" w:eastAsia="Times New Roman" w:hAnsi="Arial" w:cs="Arial"/>
          <w:i/>
          <w:color w:val="000000"/>
          <w:sz w:val="24"/>
          <w:szCs w:val="24"/>
          <w:lang w:val="fr-CI"/>
        </w:rPr>
        <w:t xml:space="preserve"> »</w:t>
      </w:r>
      <w:r w:rsidRPr="00617AAF">
        <w:rPr>
          <w:rFonts w:ascii="Arial" w:eastAsia="Times New Roman" w:hAnsi="Arial" w:cs="Arial"/>
          <w:color w:val="000000"/>
          <w:sz w:val="24"/>
          <w:szCs w:val="24"/>
          <w:lang w:val="fr-CI"/>
        </w:rPr>
        <w:t>, tiré de la 47</w:t>
      </w:r>
      <w:r w:rsidRPr="00617AAF">
        <w:rPr>
          <w:rFonts w:ascii="Arial" w:eastAsia="Times New Roman" w:hAnsi="Arial" w:cs="Arial"/>
          <w:color w:val="000000"/>
          <w:sz w:val="24"/>
          <w:szCs w:val="24"/>
          <w:vertAlign w:val="superscript"/>
          <w:lang w:val="fr-CI"/>
        </w:rPr>
        <w:t>ème</w:t>
      </w:r>
      <w:r w:rsidR="00D20F10">
        <w:rPr>
          <w:rFonts w:ascii="Arial" w:eastAsia="Times New Roman" w:hAnsi="Arial" w:cs="Arial"/>
          <w:color w:val="000000"/>
          <w:sz w:val="24"/>
          <w:szCs w:val="24"/>
          <w:lang w:val="fr-CI"/>
        </w:rPr>
        <w:t xml:space="preserve"> session de la CSW</w:t>
      </w:r>
      <w:r w:rsidRPr="00617AAF">
        <w:rPr>
          <w:rFonts w:ascii="Arial" w:eastAsia="Times New Roman" w:hAnsi="Arial" w:cs="Arial"/>
          <w:color w:val="000000"/>
          <w:sz w:val="24"/>
          <w:szCs w:val="24"/>
          <w:lang w:val="fr-CI"/>
        </w:rPr>
        <w:t>. La CSW 62 se tiendra du 12 au 23 mars 2018 au siège de l’ONU à New York.</w:t>
      </w:r>
    </w:p>
    <w:p w:rsidR="00130DBC" w:rsidRPr="00617AAF" w:rsidRDefault="00130DBC" w:rsidP="00130DBC">
      <w:pPr>
        <w:shd w:val="clear" w:color="auto" w:fill="FFFFFF"/>
        <w:spacing w:after="0" w:line="240" w:lineRule="auto"/>
        <w:jc w:val="both"/>
        <w:rPr>
          <w:rFonts w:ascii="Arial" w:eastAsia="Times New Roman" w:hAnsi="Arial" w:cs="Arial"/>
          <w:color w:val="000000"/>
          <w:sz w:val="24"/>
          <w:szCs w:val="24"/>
          <w:lang w:val="fr-CI"/>
        </w:rPr>
      </w:pPr>
      <w:r w:rsidRPr="00617AAF">
        <w:rPr>
          <w:rFonts w:ascii="Arial" w:eastAsia="Times New Roman" w:hAnsi="Arial" w:cs="Arial"/>
          <w:color w:val="000000"/>
          <w:sz w:val="24"/>
          <w:szCs w:val="24"/>
          <w:lang w:val="fr-CI"/>
        </w:rPr>
        <w:t xml:space="preserve"> </w:t>
      </w:r>
    </w:p>
    <w:p w:rsidR="00130DBC" w:rsidRPr="00D20F10" w:rsidRDefault="00130DBC" w:rsidP="00D20F10">
      <w:pPr>
        <w:pStyle w:val="ListParagraph"/>
        <w:numPr>
          <w:ilvl w:val="0"/>
          <w:numId w:val="1"/>
        </w:numPr>
        <w:shd w:val="clear" w:color="auto" w:fill="FFFFFF"/>
        <w:spacing w:after="0" w:line="240" w:lineRule="auto"/>
        <w:ind w:left="709" w:hanging="709"/>
        <w:jc w:val="both"/>
        <w:textAlignment w:val="baseline"/>
        <w:rPr>
          <w:rFonts w:ascii="Arial" w:eastAsia="Times New Roman" w:hAnsi="Arial" w:cs="Arial"/>
          <w:b/>
          <w:sz w:val="24"/>
          <w:szCs w:val="24"/>
          <w:lang w:val="fr-CI" w:eastAsia="en-ZW"/>
        </w:rPr>
      </w:pPr>
      <w:r w:rsidRPr="00617AAF">
        <w:rPr>
          <w:rFonts w:ascii="Arial" w:eastAsia="Times New Roman" w:hAnsi="Arial" w:cs="Arial"/>
          <w:b/>
          <w:sz w:val="24"/>
          <w:szCs w:val="24"/>
          <w:lang w:val="fr-CI" w:eastAsia="en-ZW"/>
        </w:rPr>
        <w:t>Composition</w:t>
      </w:r>
    </w:p>
    <w:p w:rsidR="00130DBC" w:rsidRPr="00617AAF" w:rsidRDefault="00130DBC" w:rsidP="00130DBC">
      <w:pPr>
        <w:spacing w:after="0" w:line="240" w:lineRule="auto"/>
        <w:jc w:val="both"/>
        <w:rPr>
          <w:rFonts w:ascii="Arial" w:eastAsia="Times New Roman" w:hAnsi="Arial" w:cs="Arial"/>
          <w:color w:val="000000"/>
          <w:sz w:val="24"/>
          <w:szCs w:val="24"/>
          <w:lang w:val="fr-CI"/>
        </w:rPr>
      </w:pPr>
    </w:p>
    <w:p w:rsidR="00130DBC" w:rsidRPr="00617AAF" w:rsidRDefault="00130DBC" w:rsidP="00130DBC">
      <w:pPr>
        <w:spacing w:after="0" w:line="240" w:lineRule="auto"/>
        <w:jc w:val="both"/>
        <w:rPr>
          <w:rFonts w:ascii="Arial" w:eastAsia="Times New Roman" w:hAnsi="Arial" w:cs="Arial"/>
          <w:color w:val="000000"/>
          <w:sz w:val="24"/>
          <w:szCs w:val="24"/>
          <w:lang w:val="fr-CI"/>
        </w:rPr>
      </w:pPr>
      <w:r w:rsidRPr="00617AAF">
        <w:rPr>
          <w:rFonts w:ascii="Arial" w:eastAsia="Times New Roman" w:hAnsi="Arial" w:cs="Arial"/>
          <w:color w:val="000000"/>
          <w:sz w:val="24"/>
          <w:szCs w:val="24"/>
          <w:lang w:val="fr-CI"/>
        </w:rPr>
        <w:t>La CSW est composée de 45 États membres, dont onze (11) pays d’Afrique. Le processus est coordonné par le Bureau de la CSW composé des États membres Nations Unies (ONU) ayant une représentation régionale. L’Égypte représente actuellement la région Afrique.</w:t>
      </w:r>
    </w:p>
    <w:p w:rsidR="00130DBC" w:rsidRPr="00617AAF" w:rsidRDefault="00130DBC" w:rsidP="00130DBC">
      <w:pPr>
        <w:shd w:val="clear" w:color="auto" w:fill="FFFFFF"/>
        <w:spacing w:after="0" w:line="240" w:lineRule="auto"/>
        <w:jc w:val="both"/>
        <w:rPr>
          <w:rFonts w:ascii="Arial" w:eastAsia="Times New Roman" w:hAnsi="Arial" w:cs="Arial"/>
          <w:color w:val="000000"/>
          <w:sz w:val="24"/>
          <w:szCs w:val="24"/>
          <w:lang w:val="fr-CI"/>
        </w:rPr>
      </w:pPr>
    </w:p>
    <w:p w:rsidR="00130DBC" w:rsidRPr="00D20F10" w:rsidRDefault="00130DBC" w:rsidP="00D20F10">
      <w:pPr>
        <w:pStyle w:val="ListParagraph"/>
        <w:numPr>
          <w:ilvl w:val="0"/>
          <w:numId w:val="1"/>
        </w:numPr>
        <w:shd w:val="clear" w:color="auto" w:fill="FFFFFF"/>
        <w:spacing w:after="0" w:line="240" w:lineRule="auto"/>
        <w:ind w:left="709" w:hanging="709"/>
        <w:jc w:val="both"/>
        <w:textAlignment w:val="baseline"/>
        <w:rPr>
          <w:rFonts w:ascii="Arial" w:eastAsia="Times New Roman" w:hAnsi="Arial" w:cs="Arial"/>
          <w:b/>
          <w:sz w:val="24"/>
          <w:szCs w:val="24"/>
          <w:lang w:val="fr-CI" w:eastAsia="en-ZW"/>
        </w:rPr>
      </w:pPr>
      <w:r w:rsidRPr="00617AAF">
        <w:rPr>
          <w:rFonts w:ascii="Arial" w:eastAsia="Times New Roman" w:hAnsi="Arial" w:cs="Arial"/>
          <w:b/>
          <w:sz w:val="24"/>
          <w:szCs w:val="24"/>
          <w:lang w:val="fr-CI" w:eastAsia="en-ZW"/>
        </w:rPr>
        <w:t>Position</w:t>
      </w:r>
      <w:r w:rsidRPr="00D20F10">
        <w:rPr>
          <w:rFonts w:ascii="Arial" w:eastAsia="Times New Roman" w:hAnsi="Arial" w:cs="Arial"/>
          <w:b/>
          <w:sz w:val="24"/>
          <w:szCs w:val="24"/>
          <w:lang w:val="fr-CI" w:eastAsia="en-ZW"/>
        </w:rPr>
        <w:t xml:space="preserve"> africaine commune</w:t>
      </w:r>
    </w:p>
    <w:p w:rsidR="00130DBC" w:rsidRPr="00617AAF" w:rsidRDefault="00130DBC" w:rsidP="00130DBC">
      <w:pPr>
        <w:shd w:val="clear" w:color="auto" w:fill="FFFFFF"/>
        <w:spacing w:after="0" w:line="240" w:lineRule="auto"/>
        <w:jc w:val="both"/>
        <w:rPr>
          <w:rFonts w:ascii="Arial" w:eastAsia="Times New Roman" w:hAnsi="Arial" w:cs="Arial"/>
          <w:color w:val="000000"/>
          <w:sz w:val="24"/>
          <w:szCs w:val="24"/>
          <w:lang w:val="fr-CI"/>
        </w:rPr>
      </w:pPr>
      <w:r w:rsidRPr="00617AAF">
        <w:rPr>
          <w:rFonts w:ascii="Arial" w:eastAsia="Times New Roman" w:hAnsi="Arial" w:cs="Arial"/>
          <w:color w:val="000000"/>
          <w:sz w:val="24"/>
          <w:szCs w:val="24"/>
          <w:lang w:val="fr-CI"/>
        </w:rPr>
        <w:t xml:space="preserve"> </w:t>
      </w:r>
    </w:p>
    <w:p w:rsidR="00130DBC" w:rsidRPr="00617AAF" w:rsidRDefault="00130DBC" w:rsidP="00130DBC">
      <w:pPr>
        <w:spacing w:after="0" w:line="240" w:lineRule="auto"/>
        <w:jc w:val="both"/>
        <w:rPr>
          <w:rFonts w:ascii="Arial" w:eastAsia="Times New Roman" w:hAnsi="Arial" w:cs="Arial"/>
          <w:color w:val="000000"/>
          <w:sz w:val="24"/>
          <w:szCs w:val="24"/>
          <w:lang w:val="fr-CI"/>
        </w:rPr>
      </w:pPr>
      <w:r w:rsidRPr="00617AAF">
        <w:rPr>
          <w:rFonts w:ascii="Arial" w:eastAsia="Times New Roman" w:hAnsi="Arial" w:cs="Arial"/>
          <w:color w:val="000000"/>
          <w:sz w:val="24"/>
          <w:szCs w:val="24"/>
          <w:lang w:val="fr-CI"/>
        </w:rPr>
        <w:t>Fort de l’expérience positive de coordination d’une position unique de l’Afrique en vue des sessions mondiales de la CSW depuis la CSW57, la Commission de l’Union africaine (CUA) en collaboration avec ONU Femmes et la Commission économique des Nations Unies pour l’Afrique (CEA), convoquera la Réunion de consultation ministérielle africaine préalable à la CSW 62 en janvier / février 2018. L’objectif de la réunion est de consolider une position africaine commune sur les thèmes prioritaires et d’examen et de dégager un consensus sur un plaidoyer stratégique coordonné pour influencer les Conclusions convenues de la CSW62 en utilisant les messages clés de l’Afrique adoptés à cette réunion. L’Afrique constitue près du tiers des États membres de l’ONU, par conséquent, il importe que les États membres de l’UA formulent clairement leur position commune et leurs priorités stratégiques, pour que l’Afrique parle d’une seule voix à la CSW.</w:t>
      </w:r>
    </w:p>
    <w:p w:rsidR="00130DBC" w:rsidRPr="00617AAF" w:rsidRDefault="00130DBC" w:rsidP="00130DBC">
      <w:pPr>
        <w:spacing w:after="0" w:line="240" w:lineRule="auto"/>
        <w:jc w:val="both"/>
        <w:rPr>
          <w:rFonts w:ascii="Arial" w:eastAsia="Times New Roman" w:hAnsi="Arial" w:cs="Arial"/>
          <w:color w:val="000000"/>
          <w:sz w:val="24"/>
          <w:szCs w:val="24"/>
          <w:lang w:val="fr-CI"/>
        </w:rPr>
      </w:pPr>
      <w:r w:rsidRPr="00617AAF">
        <w:rPr>
          <w:rFonts w:ascii="Arial" w:eastAsia="Times New Roman" w:hAnsi="Arial" w:cs="Arial"/>
          <w:color w:val="000000"/>
          <w:sz w:val="24"/>
          <w:szCs w:val="24"/>
          <w:lang w:val="fr-CI"/>
        </w:rPr>
        <w:t xml:space="preserve"> </w:t>
      </w:r>
    </w:p>
    <w:p w:rsidR="00130DBC" w:rsidRPr="00D20F10" w:rsidRDefault="00130DBC" w:rsidP="00D20F10">
      <w:pPr>
        <w:pStyle w:val="ListParagraph"/>
        <w:numPr>
          <w:ilvl w:val="0"/>
          <w:numId w:val="1"/>
        </w:numPr>
        <w:shd w:val="clear" w:color="auto" w:fill="FFFFFF"/>
        <w:spacing w:after="0" w:line="240" w:lineRule="auto"/>
        <w:ind w:left="709" w:hanging="709"/>
        <w:jc w:val="both"/>
        <w:textAlignment w:val="baseline"/>
        <w:rPr>
          <w:rFonts w:ascii="Arial" w:eastAsia="Times New Roman" w:hAnsi="Arial" w:cs="Arial"/>
          <w:b/>
          <w:sz w:val="24"/>
          <w:szCs w:val="24"/>
          <w:lang w:val="fr-CI" w:eastAsia="en-ZW"/>
        </w:rPr>
      </w:pPr>
      <w:r w:rsidRPr="00D20F10">
        <w:rPr>
          <w:rFonts w:ascii="Arial" w:eastAsia="Times New Roman" w:hAnsi="Arial" w:cs="Arial"/>
          <w:b/>
          <w:sz w:val="24"/>
          <w:szCs w:val="24"/>
          <w:lang w:val="fr-CI" w:eastAsia="en-ZW"/>
        </w:rPr>
        <w:t>Action des ministres</w:t>
      </w:r>
    </w:p>
    <w:p w:rsidR="00130DBC" w:rsidRPr="00617AAF" w:rsidRDefault="00130DBC" w:rsidP="00130DBC">
      <w:pPr>
        <w:spacing w:after="0" w:line="240" w:lineRule="auto"/>
        <w:jc w:val="both"/>
        <w:rPr>
          <w:rFonts w:ascii="Arial" w:eastAsia="Times New Roman" w:hAnsi="Arial" w:cs="Arial"/>
          <w:color w:val="000000"/>
          <w:sz w:val="24"/>
          <w:szCs w:val="24"/>
          <w:lang w:val="fr-CI"/>
        </w:rPr>
      </w:pPr>
    </w:p>
    <w:p w:rsidR="00130DBC" w:rsidRPr="00617AAF" w:rsidRDefault="00130DBC" w:rsidP="00130DBC">
      <w:pPr>
        <w:spacing w:after="0" w:line="240" w:lineRule="auto"/>
        <w:jc w:val="both"/>
        <w:rPr>
          <w:rFonts w:ascii="Arial" w:eastAsia="Times New Roman" w:hAnsi="Arial" w:cs="Arial"/>
          <w:color w:val="000000"/>
          <w:sz w:val="24"/>
          <w:szCs w:val="24"/>
          <w:lang w:val="fr-CI"/>
        </w:rPr>
      </w:pPr>
      <w:r w:rsidRPr="00617AAF">
        <w:rPr>
          <w:rFonts w:ascii="Arial" w:eastAsia="Times New Roman" w:hAnsi="Arial" w:cs="Arial"/>
          <w:color w:val="000000"/>
          <w:sz w:val="24"/>
          <w:szCs w:val="24"/>
          <w:lang w:val="fr-CI"/>
        </w:rPr>
        <w:t>Les ministres sont priés de prendre note du thème de la CSW 62 et de prendre les mesures nécessaires afin de s’exprimer d’une seule voix lors des négociations de la CSW62 en mars 2018, conformément à la position africaine commune qui sera convenue lors de la réunion africaine préalable à la CSW qui se tiendra en janvier / février 2018. À cet égard, les ministres sont également priés de participer à la réunion africaine préalable à la CSW pour contribuer à l’élaboration de la position africaine commune et des messages clés pour la CSW62.</w:t>
      </w:r>
    </w:p>
    <w:p w:rsidR="002803C7" w:rsidRPr="00130DBC" w:rsidRDefault="002803C7">
      <w:pPr>
        <w:rPr>
          <w:lang w:val="fr-CI"/>
        </w:rPr>
      </w:pPr>
      <w:bookmarkStart w:id="0" w:name="_GoBack"/>
      <w:bookmarkEnd w:id="0"/>
    </w:p>
    <w:sectPr w:rsidR="002803C7" w:rsidRPr="00130DBC" w:rsidSect="00D20F10">
      <w:headerReference w:type="default" r:id="rId9"/>
      <w:pgSz w:w="12240" w:h="15840"/>
      <w:pgMar w:top="1440" w:right="1440" w:bottom="993"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F7D" w:rsidRDefault="00096F7D">
      <w:pPr>
        <w:spacing w:after="0" w:line="240" w:lineRule="auto"/>
      </w:pPr>
      <w:r>
        <w:separator/>
      </w:r>
    </w:p>
  </w:endnote>
  <w:endnote w:type="continuationSeparator" w:id="0">
    <w:p w:rsidR="00096F7D" w:rsidRDefault="000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F7D" w:rsidRDefault="00096F7D">
      <w:pPr>
        <w:spacing w:after="0" w:line="240" w:lineRule="auto"/>
      </w:pPr>
      <w:r>
        <w:separator/>
      </w:r>
    </w:p>
  </w:footnote>
  <w:footnote w:type="continuationSeparator" w:id="0">
    <w:p w:rsidR="00096F7D" w:rsidRDefault="0009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585408"/>
      <w:docPartObj>
        <w:docPartGallery w:val="Page Numbers (Top of Page)"/>
        <w:docPartUnique/>
      </w:docPartObj>
    </w:sdtPr>
    <w:sdtEndPr>
      <w:rPr>
        <w:rFonts w:ascii="Arial" w:hAnsi="Arial" w:cs="Arial"/>
        <w:b/>
        <w:noProof/>
      </w:rPr>
    </w:sdtEndPr>
    <w:sdtContent>
      <w:p w:rsidR="00D20F10" w:rsidRPr="00D20F10" w:rsidRDefault="00D20F10">
        <w:pPr>
          <w:pStyle w:val="Header"/>
          <w:jc w:val="right"/>
          <w:rPr>
            <w:rFonts w:ascii="Arial" w:hAnsi="Arial" w:cs="Arial"/>
            <w:b/>
          </w:rPr>
        </w:pPr>
        <w:r w:rsidRPr="00D20F10">
          <w:rPr>
            <w:rFonts w:ascii="Arial" w:hAnsi="Arial" w:cs="Arial"/>
            <w:b/>
          </w:rPr>
          <w:t xml:space="preserve">Page </w:t>
        </w:r>
        <w:r w:rsidRPr="00D20F10">
          <w:rPr>
            <w:rFonts w:ascii="Arial" w:hAnsi="Arial" w:cs="Arial"/>
            <w:b/>
          </w:rPr>
          <w:fldChar w:fldCharType="begin"/>
        </w:r>
        <w:r w:rsidRPr="00D20F10">
          <w:rPr>
            <w:rFonts w:ascii="Arial" w:hAnsi="Arial" w:cs="Arial"/>
            <w:b/>
          </w:rPr>
          <w:instrText xml:space="preserve"> PAGE   \* MERGEFORMAT </w:instrText>
        </w:r>
        <w:r w:rsidRPr="00D20F10">
          <w:rPr>
            <w:rFonts w:ascii="Arial" w:hAnsi="Arial" w:cs="Arial"/>
            <w:b/>
          </w:rPr>
          <w:fldChar w:fldCharType="separate"/>
        </w:r>
        <w:r>
          <w:rPr>
            <w:rFonts w:ascii="Arial" w:hAnsi="Arial" w:cs="Arial"/>
            <w:b/>
            <w:noProof/>
          </w:rPr>
          <w:t>2</w:t>
        </w:r>
        <w:r w:rsidRPr="00D20F10">
          <w:rPr>
            <w:rFonts w:ascii="Arial" w:hAnsi="Arial" w:cs="Arial"/>
            <w:b/>
            <w:noProof/>
          </w:rPr>
          <w:fldChar w:fldCharType="end"/>
        </w:r>
      </w:p>
    </w:sdtContent>
  </w:sdt>
  <w:p w:rsidR="00D20F10" w:rsidRPr="00D20F10" w:rsidRDefault="00D20F10">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D598D"/>
    <w:multiLevelType w:val="hybridMultilevel"/>
    <w:tmpl w:val="1EE0F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BC"/>
    <w:rsid w:val="00096F7D"/>
    <w:rsid w:val="00130DBC"/>
    <w:rsid w:val="002803C7"/>
    <w:rsid w:val="007F752C"/>
    <w:rsid w:val="00D2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24D21-B420-4589-A091-41C80094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BC"/>
    <w:pPr>
      <w:ind w:left="720"/>
      <w:contextualSpacing/>
    </w:pPr>
  </w:style>
  <w:style w:type="paragraph" w:styleId="Footer">
    <w:name w:val="footer"/>
    <w:basedOn w:val="Normal"/>
    <w:link w:val="FooterChar"/>
    <w:uiPriority w:val="99"/>
    <w:unhideWhenUsed/>
    <w:rsid w:val="0013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BC"/>
  </w:style>
  <w:style w:type="paragraph" w:styleId="Header">
    <w:name w:val="header"/>
    <w:basedOn w:val="Normal"/>
    <w:link w:val="HeaderChar"/>
    <w:uiPriority w:val="99"/>
    <w:unhideWhenUsed/>
    <w:rsid w:val="00D20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Meklit Berhane</dc:creator>
  <cp:keywords/>
  <dc:description/>
  <cp:lastModifiedBy>Meklit Berhane</cp:lastModifiedBy>
  <cp:revision>4</cp:revision>
  <dcterms:created xsi:type="dcterms:W3CDTF">2017-11-21T07:21:00Z</dcterms:created>
  <dcterms:modified xsi:type="dcterms:W3CDTF">2017-11-21T07:23:00Z</dcterms:modified>
</cp:coreProperties>
</file>