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09" w:rsidRPr="0036766C" w:rsidRDefault="007A2809" w:rsidP="00E11BED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="-318" w:tblpY="549"/>
        <w:tblW w:w="9747" w:type="dxa"/>
        <w:tblLook w:val="0000" w:firstRow="0" w:lastRow="0" w:firstColumn="0" w:lastColumn="0" w:noHBand="0" w:noVBand="0"/>
      </w:tblPr>
      <w:tblGrid>
        <w:gridCol w:w="3708"/>
        <w:gridCol w:w="2790"/>
        <w:gridCol w:w="3249"/>
      </w:tblGrid>
      <w:tr w:rsidR="00F43442" w:rsidRPr="00990B93" w:rsidTr="00F150E4">
        <w:trPr>
          <w:cantSplit/>
          <w:trHeight w:val="426"/>
        </w:trPr>
        <w:tc>
          <w:tcPr>
            <w:tcW w:w="3708" w:type="dxa"/>
          </w:tcPr>
          <w:p w:rsidR="00F43442" w:rsidRPr="00990B93" w:rsidRDefault="00F43442" w:rsidP="00E11BE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 w:rsidRPr="00990B93">
              <w:rPr>
                <w:rFonts w:ascii="Arial" w:hAnsi="Arial" w:cs="Arial"/>
                <w:b/>
                <w:bCs/>
                <w:lang w:val="en-GB"/>
              </w:rPr>
              <w:t>AFRICAN UNION</w:t>
            </w:r>
          </w:p>
        </w:tc>
        <w:tc>
          <w:tcPr>
            <w:tcW w:w="2790" w:type="dxa"/>
            <w:vMerge w:val="restart"/>
          </w:tcPr>
          <w:p w:rsidR="00F43442" w:rsidRPr="00990B93" w:rsidRDefault="00F43442" w:rsidP="00E11BE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23900" cy="619125"/>
                  <wp:effectExtent l="0" t="0" r="0" b="9525"/>
                  <wp:docPr id="3" name="Picture 3" descr="Description: Description: 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</w:tcPr>
          <w:p w:rsidR="00F43442" w:rsidRPr="00990B93" w:rsidRDefault="00F43442" w:rsidP="00E11BE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 w:rsidRPr="00990B93">
              <w:rPr>
                <w:rFonts w:ascii="Arial" w:hAnsi="Arial" w:cs="Arial"/>
                <w:b/>
                <w:bCs/>
                <w:lang w:val="en-GB"/>
              </w:rPr>
              <w:t>UNION AFRICAINE</w:t>
            </w:r>
          </w:p>
        </w:tc>
      </w:tr>
      <w:tr w:rsidR="00F43442" w:rsidRPr="00990B93" w:rsidTr="00F150E4">
        <w:trPr>
          <w:cantSplit/>
          <w:trHeight w:val="663"/>
        </w:trPr>
        <w:tc>
          <w:tcPr>
            <w:tcW w:w="3708" w:type="dxa"/>
            <w:tcBorders>
              <w:bottom w:val="single" w:sz="4" w:space="0" w:color="auto"/>
            </w:tcBorders>
          </w:tcPr>
          <w:p w:rsidR="00F43442" w:rsidRPr="00990B93" w:rsidRDefault="00F43442" w:rsidP="00E11BE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81100" cy="409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F43442" w:rsidRPr="00990B93" w:rsidRDefault="00F43442" w:rsidP="00E11BE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F43442" w:rsidRPr="00990B93" w:rsidRDefault="00F43442" w:rsidP="00E11BE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lang w:val="en-GB"/>
              </w:rPr>
            </w:pPr>
            <w:r w:rsidRPr="00990B93">
              <w:rPr>
                <w:rFonts w:ascii="Arial" w:hAnsi="Arial" w:cs="Arial"/>
                <w:b/>
                <w:bCs/>
                <w:lang w:val="en-GB"/>
              </w:rPr>
              <w:t>UNIÃO AFRICANA</w:t>
            </w:r>
          </w:p>
        </w:tc>
      </w:tr>
      <w:tr w:rsidR="00F43442" w:rsidRPr="00990B93" w:rsidTr="00F150E4">
        <w:trPr>
          <w:cantSplit/>
          <w:trHeight w:val="677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442" w:rsidRPr="00F150E4" w:rsidRDefault="00F43442" w:rsidP="00E11BED">
            <w:pPr>
              <w:keepNext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50E4">
              <w:rPr>
                <w:rFonts w:ascii="Arial" w:hAnsi="Arial" w:cs="Arial"/>
                <w:b/>
                <w:sz w:val="20"/>
                <w:szCs w:val="20"/>
                <w:lang w:val="en-GB"/>
              </w:rPr>
              <w:t>Addis Ababa, Ethiopia   P. O. Box 3243 Telephone: +251 11 551 7700   Fax: +251 11 5 517 844</w:t>
            </w:r>
          </w:p>
          <w:p w:rsidR="00F43442" w:rsidRPr="00990B93" w:rsidRDefault="00F43442" w:rsidP="00E11BED">
            <w:pPr>
              <w:keepNext/>
              <w:tabs>
                <w:tab w:val="left" w:pos="9900"/>
              </w:tabs>
              <w:ind w:right="162"/>
              <w:jc w:val="center"/>
              <w:outlineLvl w:val="4"/>
              <w:rPr>
                <w:rFonts w:ascii="Arial" w:hAnsi="Arial" w:cs="Arial"/>
                <w:b/>
                <w:lang w:val="en-GB"/>
              </w:rPr>
            </w:pPr>
            <w:r w:rsidRPr="00990B93">
              <w:rPr>
                <w:rFonts w:ascii="Arial" w:hAnsi="Arial" w:cs="Arial"/>
                <w:b/>
                <w:lang w:val="en-GB"/>
              </w:rPr>
              <w:t xml:space="preserve">website: </w:t>
            </w:r>
            <w:hyperlink r:id="rId9" w:history="1">
              <w:r w:rsidRPr="00990B93">
                <w:rPr>
                  <w:rFonts w:ascii="Arial" w:hAnsi="Arial" w:cs="Arial"/>
                  <w:b/>
                  <w:u w:val="single"/>
                  <w:lang w:val="en-GB"/>
                </w:rPr>
                <w:t>www.au.int</w:t>
              </w:r>
            </w:hyperlink>
            <w:r w:rsidRPr="00990B93">
              <w:rPr>
                <w:rFonts w:ascii="Arial" w:hAnsi="Arial" w:cs="Arial"/>
                <w:b/>
                <w:lang w:val="en-GB"/>
              </w:rPr>
              <w:t xml:space="preserve">  </w:t>
            </w:r>
          </w:p>
        </w:tc>
      </w:tr>
    </w:tbl>
    <w:p w:rsidR="007A2809" w:rsidRPr="00F43442" w:rsidRDefault="00F43442" w:rsidP="00E11BED">
      <w:pPr>
        <w:jc w:val="right"/>
        <w:rPr>
          <w:rFonts w:ascii="Arial" w:hAnsi="Arial" w:cs="Arial"/>
          <w:b/>
          <w:sz w:val="18"/>
          <w:lang w:val="fr-FR"/>
        </w:rPr>
      </w:pPr>
      <w:r w:rsidRPr="00F43442">
        <w:rPr>
          <w:rFonts w:ascii="Arial" w:hAnsi="Arial" w:cs="Arial"/>
          <w:b/>
          <w:sz w:val="18"/>
        </w:rPr>
        <w:t>WG20627 - 122/2/15</w:t>
      </w:r>
    </w:p>
    <w:p w:rsidR="007A2809" w:rsidRPr="00F43442" w:rsidRDefault="007A2809" w:rsidP="00E11BED">
      <w:pPr>
        <w:rPr>
          <w:rFonts w:ascii="Arial" w:hAnsi="Arial" w:cs="Arial"/>
          <w:lang w:val="fr-FR"/>
        </w:rPr>
      </w:pPr>
    </w:p>
    <w:p w:rsidR="007A2809" w:rsidRPr="00F43442" w:rsidRDefault="007A2809" w:rsidP="00E11BED">
      <w:pPr>
        <w:rPr>
          <w:rFonts w:ascii="Arial" w:hAnsi="Arial" w:cs="Arial"/>
          <w:b/>
          <w:bCs/>
          <w:lang w:val="fr-FR"/>
        </w:rPr>
      </w:pPr>
    </w:p>
    <w:p w:rsidR="007A2809" w:rsidRPr="00F43442" w:rsidRDefault="007A2809" w:rsidP="00E11BED">
      <w:pPr>
        <w:rPr>
          <w:rFonts w:ascii="Arial" w:hAnsi="Arial" w:cs="Arial"/>
          <w:b/>
          <w:bCs/>
          <w:lang w:val="fr-FR"/>
        </w:rPr>
      </w:pPr>
    </w:p>
    <w:p w:rsidR="00DC2FC8" w:rsidRPr="00F43442" w:rsidRDefault="00DC2FC8" w:rsidP="00E11BED">
      <w:pPr>
        <w:rPr>
          <w:rFonts w:ascii="Arial" w:hAnsi="Arial" w:cs="Arial"/>
          <w:b/>
          <w:bCs/>
          <w:lang w:val="fr-FR"/>
        </w:rPr>
      </w:pPr>
    </w:p>
    <w:p w:rsidR="00DC2FC8" w:rsidRPr="00F43442" w:rsidRDefault="00DC2FC8" w:rsidP="00E11BED">
      <w:pPr>
        <w:rPr>
          <w:rFonts w:ascii="Arial" w:hAnsi="Arial" w:cs="Arial"/>
          <w:b/>
          <w:bCs/>
          <w:lang w:val="fr-FR"/>
        </w:rPr>
      </w:pPr>
    </w:p>
    <w:p w:rsidR="00DC2FC8" w:rsidRPr="00F43442" w:rsidRDefault="00DC2FC8" w:rsidP="00E11BED">
      <w:pPr>
        <w:rPr>
          <w:rFonts w:ascii="Arial" w:hAnsi="Arial" w:cs="Arial"/>
          <w:b/>
          <w:bCs/>
          <w:lang w:val="fr-FR"/>
        </w:rPr>
      </w:pPr>
    </w:p>
    <w:p w:rsidR="007A2809" w:rsidRPr="00F43442" w:rsidRDefault="007A2809" w:rsidP="00E11BED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:rsidR="00E11BED" w:rsidRDefault="00E11BED" w:rsidP="00E11BED">
      <w:pPr>
        <w:pStyle w:val="Textoindependiente"/>
        <w:spacing w:after="0"/>
        <w:jc w:val="center"/>
        <w:rPr>
          <w:rFonts w:ascii="Arial" w:hAnsi="Arial" w:cs="Arial"/>
          <w:b/>
          <w:sz w:val="28"/>
          <w:szCs w:val="28"/>
          <w:lang w:val="fr-CI"/>
        </w:rPr>
      </w:pPr>
    </w:p>
    <w:p w:rsidR="00E11BED" w:rsidRDefault="00E11BED" w:rsidP="00E11BED">
      <w:pPr>
        <w:pStyle w:val="Textoindependiente"/>
        <w:spacing w:after="0"/>
        <w:jc w:val="center"/>
        <w:rPr>
          <w:rFonts w:ascii="Arial" w:hAnsi="Arial" w:cs="Arial"/>
          <w:b/>
          <w:sz w:val="28"/>
          <w:szCs w:val="28"/>
          <w:lang w:val="fr-CI"/>
        </w:rPr>
      </w:pPr>
    </w:p>
    <w:p w:rsidR="00E11BED" w:rsidRDefault="00E11BED" w:rsidP="00E11BED">
      <w:pPr>
        <w:pStyle w:val="Textoindependiente"/>
        <w:spacing w:after="0"/>
        <w:jc w:val="center"/>
        <w:rPr>
          <w:rFonts w:ascii="Arial" w:hAnsi="Arial" w:cs="Arial"/>
          <w:b/>
          <w:sz w:val="28"/>
          <w:szCs w:val="28"/>
          <w:lang w:val="fr-CI"/>
        </w:rPr>
      </w:pPr>
    </w:p>
    <w:p w:rsidR="00E11BED" w:rsidRDefault="00E11BED" w:rsidP="00E11BED">
      <w:pPr>
        <w:pStyle w:val="Textoindependiente"/>
        <w:spacing w:after="0"/>
        <w:jc w:val="center"/>
        <w:rPr>
          <w:rFonts w:ascii="Arial" w:hAnsi="Arial" w:cs="Arial"/>
          <w:b/>
          <w:sz w:val="28"/>
          <w:szCs w:val="28"/>
          <w:lang w:val="fr-CI"/>
        </w:rPr>
      </w:pPr>
    </w:p>
    <w:p w:rsidR="00E11BED" w:rsidRDefault="00E11BED" w:rsidP="00E11BED">
      <w:pPr>
        <w:pStyle w:val="Textoindependiente"/>
        <w:spacing w:after="0"/>
        <w:jc w:val="center"/>
        <w:rPr>
          <w:rFonts w:ascii="Arial" w:hAnsi="Arial" w:cs="Arial"/>
          <w:b/>
          <w:sz w:val="28"/>
          <w:szCs w:val="28"/>
          <w:lang w:val="fr-CI"/>
        </w:rPr>
      </w:pPr>
    </w:p>
    <w:p w:rsidR="00604F10" w:rsidRPr="00403E9B" w:rsidRDefault="00604F10" w:rsidP="00E11BED">
      <w:pPr>
        <w:pStyle w:val="Textoindependiente"/>
        <w:spacing w:after="0"/>
        <w:jc w:val="center"/>
        <w:rPr>
          <w:rFonts w:ascii="Arial" w:hAnsi="Arial" w:cs="Arial"/>
          <w:b/>
          <w:sz w:val="28"/>
          <w:szCs w:val="28"/>
          <w:lang w:val="fr-CI"/>
        </w:rPr>
      </w:pPr>
      <w:r w:rsidRPr="00403E9B">
        <w:rPr>
          <w:rFonts w:ascii="Arial" w:hAnsi="Arial" w:cs="Arial"/>
          <w:b/>
          <w:sz w:val="28"/>
          <w:szCs w:val="28"/>
          <w:lang w:val="fr-CI"/>
        </w:rPr>
        <w:t>NOTE D’ORIENTATION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fr-CI"/>
        </w:rPr>
      </w:pPr>
    </w:p>
    <w:p w:rsidR="00604F10" w:rsidRPr="00403E9B" w:rsidRDefault="00604F10" w:rsidP="00E11BED">
      <w:pPr>
        <w:jc w:val="center"/>
        <w:rPr>
          <w:rFonts w:ascii="Arial" w:hAnsi="Arial" w:cs="Arial"/>
          <w:b/>
          <w:sz w:val="28"/>
          <w:szCs w:val="28"/>
          <w:lang w:val="fr-CI"/>
        </w:rPr>
      </w:pPr>
      <w:r w:rsidRPr="00403E9B">
        <w:rPr>
          <w:rFonts w:ascii="Arial" w:hAnsi="Arial" w:cs="Arial"/>
          <w:b/>
          <w:sz w:val="28"/>
          <w:szCs w:val="28"/>
          <w:lang w:val="fr-CI"/>
        </w:rPr>
        <w:t>2</w:t>
      </w:r>
      <w:r w:rsidRPr="00403E9B">
        <w:rPr>
          <w:rFonts w:ascii="Arial" w:hAnsi="Arial" w:cs="Arial"/>
          <w:b/>
          <w:sz w:val="28"/>
          <w:szCs w:val="28"/>
          <w:vertAlign w:val="superscript"/>
          <w:lang w:val="fr-CI"/>
        </w:rPr>
        <w:t>e</w:t>
      </w:r>
      <w:r w:rsidRPr="00403E9B">
        <w:rPr>
          <w:rFonts w:ascii="Arial" w:hAnsi="Arial" w:cs="Arial"/>
          <w:b/>
          <w:sz w:val="28"/>
          <w:szCs w:val="28"/>
          <w:lang w:val="fr-CI"/>
        </w:rPr>
        <w:t xml:space="preserve"> </w:t>
      </w:r>
      <w:r w:rsidR="00C24313" w:rsidRPr="00403E9B">
        <w:rPr>
          <w:rFonts w:ascii="Arial" w:hAnsi="Arial" w:cs="Arial"/>
          <w:b/>
          <w:sz w:val="28"/>
          <w:szCs w:val="28"/>
          <w:lang w:val="fr-CI"/>
        </w:rPr>
        <w:t xml:space="preserve">COMITÉ </w:t>
      </w:r>
      <w:r w:rsidRPr="00403E9B">
        <w:rPr>
          <w:rFonts w:ascii="Arial" w:hAnsi="Arial" w:cs="Arial"/>
          <w:b/>
          <w:sz w:val="28"/>
          <w:szCs w:val="28"/>
          <w:lang w:val="fr-CI"/>
        </w:rPr>
        <w:t xml:space="preserve">TECHNIQUE </w:t>
      </w:r>
      <w:r w:rsidR="00C24313" w:rsidRPr="00403E9B">
        <w:rPr>
          <w:rFonts w:ascii="Arial" w:hAnsi="Arial" w:cs="Arial"/>
          <w:b/>
          <w:sz w:val="28"/>
          <w:szCs w:val="28"/>
          <w:lang w:val="fr-CI"/>
        </w:rPr>
        <w:t xml:space="preserve">SPÉCIALISÉ </w:t>
      </w:r>
      <w:r w:rsidRPr="00403E9B">
        <w:rPr>
          <w:rFonts w:ascii="Arial" w:hAnsi="Arial" w:cs="Arial"/>
          <w:b/>
          <w:sz w:val="28"/>
          <w:szCs w:val="28"/>
          <w:lang w:val="fr-CI"/>
        </w:rPr>
        <w:t xml:space="preserve">SUR </w:t>
      </w:r>
      <w:r w:rsidR="00C24313" w:rsidRPr="00403E9B">
        <w:rPr>
          <w:rFonts w:ascii="Arial" w:hAnsi="Arial" w:cs="Arial"/>
          <w:b/>
          <w:sz w:val="28"/>
          <w:szCs w:val="28"/>
          <w:lang w:val="fr-CI"/>
        </w:rPr>
        <w:t>LE GENRE</w:t>
      </w:r>
      <w:r w:rsidRPr="00403E9B">
        <w:rPr>
          <w:rFonts w:ascii="Arial" w:hAnsi="Arial" w:cs="Arial"/>
          <w:b/>
          <w:sz w:val="28"/>
          <w:szCs w:val="28"/>
          <w:lang w:val="fr-CI"/>
        </w:rPr>
        <w:t xml:space="preserve"> ET</w:t>
      </w:r>
    </w:p>
    <w:p w:rsidR="00604F10" w:rsidRPr="00403E9B" w:rsidRDefault="00604F10" w:rsidP="00E11BED">
      <w:pPr>
        <w:jc w:val="center"/>
        <w:rPr>
          <w:rFonts w:ascii="Arial" w:hAnsi="Arial" w:cs="Arial"/>
          <w:b/>
          <w:sz w:val="28"/>
          <w:szCs w:val="28"/>
          <w:lang w:val="fr-CI"/>
        </w:rPr>
      </w:pPr>
    </w:p>
    <w:p w:rsidR="00604F10" w:rsidRPr="00403E9B" w:rsidRDefault="00604F10" w:rsidP="00E11BED">
      <w:pPr>
        <w:jc w:val="center"/>
        <w:rPr>
          <w:rFonts w:ascii="Arial" w:hAnsi="Arial" w:cs="Arial"/>
          <w:b/>
          <w:sz w:val="28"/>
          <w:szCs w:val="28"/>
          <w:lang w:val="fr-CI"/>
        </w:rPr>
      </w:pPr>
      <w:r w:rsidRPr="00403E9B">
        <w:rPr>
          <w:rFonts w:ascii="Arial" w:hAnsi="Arial" w:cs="Arial"/>
          <w:b/>
          <w:sz w:val="28"/>
          <w:szCs w:val="28"/>
          <w:lang w:val="fr-CI"/>
        </w:rPr>
        <w:t>L’AUTONOMISATION DES FEMMES</w:t>
      </w:r>
    </w:p>
    <w:p w:rsidR="00604F10" w:rsidRPr="00403E9B" w:rsidRDefault="00604F10" w:rsidP="00E11BED">
      <w:pPr>
        <w:jc w:val="center"/>
        <w:rPr>
          <w:rFonts w:ascii="Arial" w:hAnsi="Arial" w:cs="Arial"/>
          <w:b/>
          <w:sz w:val="28"/>
          <w:szCs w:val="28"/>
          <w:lang w:val="fr-CI"/>
        </w:rPr>
      </w:pPr>
    </w:p>
    <w:p w:rsidR="00604F10" w:rsidRDefault="00E11BED" w:rsidP="00E11BED">
      <w:pPr>
        <w:jc w:val="center"/>
        <w:rPr>
          <w:rFonts w:ascii="Arial" w:hAnsi="Arial" w:cs="Arial"/>
          <w:b/>
          <w:sz w:val="28"/>
          <w:szCs w:val="28"/>
          <w:lang w:val="fr-CI"/>
        </w:rPr>
      </w:pPr>
      <w:r w:rsidRPr="00403E9B">
        <w:rPr>
          <w:rFonts w:ascii="Arial" w:hAnsi="Arial" w:cs="Arial"/>
          <w:b/>
          <w:sz w:val="28"/>
          <w:szCs w:val="28"/>
          <w:lang w:val="fr-CI"/>
        </w:rPr>
        <w:t>4 – 8 décembre 2017</w:t>
      </w:r>
    </w:p>
    <w:p w:rsidR="00CF1CFA" w:rsidRDefault="00CF1CFA" w:rsidP="00E11BED">
      <w:pPr>
        <w:jc w:val="center"/>
        <w:rPr>
          <w:rFonts w:ascii="Arial" w:hAnsi="Arial" w:cs="Arial"/>
          <w:b/>
          <w:sz w:val="28"/>
          <w:szCs w:val="28"/>
          <w:lang w:val="fr-CI"/>
        </w:rPr>
      </w:pPr>
    </w:p>
    <w:p w:rsidR="00CF1CFA" w:rsidRPr="00403E9B" w:rsidRDefault="00CF1CFA" w:rsidP="00E11BED">
      <w:pPr>
        <w:jc w:val="center"/>
        <w:rPr>
          <w:rFonts w:ascii="Arial" w:hAnsi="Arial" w:cs="Arial"/>
          <w:b/>
          <w:sz w:val="28"/>
          <w:szCs w:val="28"/>
          <w:lang w:val="fr-CI"/>
        </w:rPr>
      </w:pPr>
      <w:r>
        <w:rPr>
          <w:rFonts w:ascii="Arial" w:hAnsi="Arial" w:cs="Arial"/>
          <w:b/>
          <w:sz w:val="28"/>
          <w:szCs w:val="28"/>
          <w:lang w:val="fr-CI"/>
        </w:rPr>
        <w:t>Addis Abeba,Éthiopie</w:t>
      </w:r>
    </w:p>
    <w:p w:rsidR="00E11BED" w:rsidRDefault="00E11BED">
      <w:pPr>
        <w:spacing w:after="160" w:line="259" w:lineRule="auto"/>
        <w:rPr>
          <w:rFonts w:ascii="Arial" w:hAnsi="Arial" w:cs="Arial"/>
          <w:lang w:val="fr-CI"/>
        </w:rPr>
      </w:pPr>
      <w:r>
        <w:rPr>
          <w:rFonts w:ascii="Arial" w:hAnsi="Arial" w:cs="Arial"/>
          <w:lang w:val="fr-CI"/>
        </w:rPr>
        <w:br w:type="page"/>
      </w:r>
    </w:p>
    <w:p w:rsidR="00403E9B" w:rsidRPr="00403E9B" w:rsidRDefault="00403E9B" w:rsidP="00E11BED">
      <w:pPr>
        <w:rPr>
          <w:rFonts w:ascii="Arial" w:hAnsi="Arial" w:cs="Arial"/>
          <w:lang w:val="fr-CI"/>
        </w:rPr>
      </w:pPr>
    </w:p>
    <w:p w:rsidR="00604F10" w:rsidRPr="00403E9B" w:rsidRDefault="00604F10" w:rsidP="00E11BED">
      <w:pPr>
        <w:pStyle w:val="NormalWeb"/>
        <w:numPr>
          <w:ilvl w:val="0"/>
          <w:numId w:val="18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b/>
          <w:bCs/>
          <w:color w:val="000000"/>
          <w:lang w:val="fr-CI"/>
        </w:rPr>
        <w:t>Introduction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ind w:left="1080" w:firstLine="709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000000"/>
          <w:lang w:val="fr-CI"/>
        </w:rPr>
        <w:t xml:space="preserve"> </w:t>
      </w:r>
    </w:p>
    <w:p w:rsidR="00604F10" w:rsidRPr="00403E9B" w:rsidRDefault="00604F10" w:rsidP="00E11BED">
      <w:pPr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Commission de l’Union africaine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organise le 2</w:t>
      </w:r>
      <w:r w:rsidR="00C24313" w:rsidRPr="00403E9B">
        <w:rPr>
          <w:rStyle w:val="notranslate"/>
          <w:rFonts w:ascii="Arial" w:hAnsi="Arial" w:cs="Arial"/>
          <w:color w:val="000000"/>
          <w:vertAlign w:val="superscript"/>
          <w:lang w:val="fr-CI"/>
        </w:rPr>
        <w:t>e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Comité technique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spécialisé (CTS)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sur le genre et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l’autonomisation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des femmes qui se tiendra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du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4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au 8 d</w:t>
      </w:r>
      <w:r w:rsidRPr="00403E9B">
        <w:rPr>
          <w:rStyle w:val="notranslate"/>
          <w:rFonts w:ascii="Arial" w:hAnsi="Arial" w:cs="Arial"/>
          <w:color w:val="000000"/>
          <w:lang w:val="fr-CI"/>
        </w:rPr>
        <w:t>écembre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>2017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 xml:space="preserve"> à</w:t>
      </w:r>
      <w:r w:rsidR="00C24313" w:rsidRPr="00403E9B">
        <w:rPr>
          <w:rFonts w:ascii="Arial" w:hAnsi="Arial" w:cs="Arial"/>
          <w:color w:val="000000"/>
          <w:lang w:val="fr-CI"/>
        </w:rPr>
        <w:t xml:space="preserve"> </w:t>
      </w:r>
      <w:r w:rsidR="00CF1CFA">
        <w:rPr>
          <w:rStyle w:val="notranslate"/>
          <w:rFonts w:ascii="Arial" w:hAnsi="Arial" w:cs="Arial"/>
          <w:color w:val="000000"/>
          <w:lang w:val="fr-CI"/>
        </w:rPr>
        <w:t>Addis Abeba, Éthiopie</w:t>
      </w:r>
      <w:r w:rsidRPr="00403E9B">
        <w:rPr>
          <w:rStyle w:val="notranslate"/>
          <w:rFonts w:ascii="Arial" w:hAnsi="Arial" w:cs="Arial"/>
          <w:color w:val="000000"/>
          <w:lang w:val="fr-CI"/>
        </w:rPr>
        <w:t>.</w:t>
      </w:r>
      <w:r w:rsidRPr="00403E9B">
        <w:rPr>
          <w:rFonts w:ascii="Arial" w:hAnsi="Arial" w:cs="Arial"/>
          <w:color w:val="000000"/>
          <w:lang w:val="fr-CI"/>
        </w:rPr>
        <w:t xml:space="preserve">  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000000"/>
          <w:lang w:val="fr-CI"/>
        </w:rPr>
        <w:t xml:space="preserve"> </w:t>
      </w:r>
    </w:p>
    <w:p w:rsidR="00604F10" w:rsidRPr="00403E9B" w:rsidRDefault="00604F10" w:rsidP="00E11BED">
      <w:pPr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Selon le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règlement intérieur du CTS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sur le genre et l’autonomisation des femmes adopté au cours du 1</w:t>
      </w:r>
      <w:r w:rsidRPr="00403E9B">
        <w:rPr>
          <w:rStyle w:val="notranslate"/>
          <w:rFonts w:ascii="Arial" w:hAnsi="Arial" w:cs="Arial"/>
          <w:color w:val="000000"/>
          <w:vertAlign w:val="superscript"/>
          <w:lang w:val="fr-CI"/>
        </w:rPr>
        <w:t>er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CTS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tenu en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j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anvier 2016,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le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CTS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sur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le genre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et l’autonomisation des femmes se réunit en session ordinaire une fois par an.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000000"/>
          <w:lang w:val="fr-CI"/>
        </w:rPr>
        <w:t xml:space="preserve"> </w:t>
      </w:r>
    </w:p>
    <w:p w:rsidR="00604F10" w:rsidRPr="00403E9B" w:rsidRDefault="00604F10" w:rsidP="00E11BED">
      <w:pPr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>Le 2</w:t>
      </w:r>
      <w:r w:rsidRPr="00403E9B">
        <w:rPr>
          <w:rStyle w:val="notranslate"/>
          <w:rFonts w:ascii="Arial" w:hAnsi="Arial" w:cs="Arial"/>
          <w:color w:val="000000"/>
          <w:vertAlign w:val="superscript"/>
          <w:lang w:val="fr-CI"/>
        </w:rPr>
        <w:t>e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="00C24313" w:rsidRPr="00403E9B">
        <w:rPr>
          <w:rStyle w:val="notranslate"/>
          <w:rFonts w:ascii="Arial" w:hAnsi="Arial" w:cs="Arial"/>
          <w:color w:val="000000"/>
          <w:lang w:val="fr-CI"/>
        </w:rPr>
        <w:t>CTS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sur le genre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et l’autonomisation des femmes examinera, entre autres, la nouvelle </w:t>
      </w:r>
      <w:r w:rsidR="00C712C1" w:rsidRPr="00403E9B">
        <w:rPr>
          <w:rStyle w:val="notranslate"/>
          <w:rFonts w:ascii="Arial" w:hAnsi="Arial" w:cs="Arial"/>
          <w:color w:val="000000"/>
          <w:lang w:val="fr-CI"/>
        </w:rPr>
        <w:t>Stratégie de l’Union africaine en matière de genre</w:t>
      </w:r>
      <w:r w:rsidRPr="00403E9B">
        <w:rPr>
          <w:rStyle w:val="notranslate"/>
          <w:rFonts w:ascii="Arial" w:hAnsi="Arial" w:cs="Arial"/>
          <w:color w:val="000000"/>
          <w:lang w:val="fr-CI"/>
        </w:rPr>
        <w:t>, l’évaluation de</w:t>
      </w:r>
      <w:r w:rsidR="00C712C1" w:rsidRPr="00403E9B">
        <w:rPr>
          <w:rStyle w:val="notranslate"/>
          <w:rFonts w:ascii="Arial" w:hAnsi="Arial" w:cs="Arial"/>
          <w:color w:val="000000"/>
          <w:lang w:val="fr-CI"/>
        </w:rPr>
        <w:t xml:space="preserve"> Politique 2009 de l’UA en matière de genre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, la 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 xml:space="preserve">Nouvelle </w:t>
      </w:r>
      <w:r w:rsidRPr="00403E9B">
        <w:rPr>
          <w:rStyle w:val="notranslate"/>
          <w:rFonts w:ascii="Arial" w:hAnsi="Arial" w:cs="Arial"/>
          <w:color w:val="000000"/>
          <w:lang w:val="fr-CI"/>
        </w:rPr>
        <w:t>stratégie de communication de l’UA</w:t>
      </w:r>
      <w:r w:rsidR="00C712C1" w:rsidRPr="00403E9B">
        <w:rPr>
          <w:rStyle w:val="notranslate"/>
          <w:rFonts w:ascii="Arial" w:hAnsi="Arial" w:cs="Arial"/>
          <w:color w:val="000000"/>
          <w:lang w:val="fr-CI"/>
        </w:rPr>
        <w:t xml:space="preserve"> sur le genre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, les 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 xml:space="preserve">Rapports </w:t>
      </w:r>
      <w:r w:rsidR="00C712C1" w:rsidRPr="00403E9B">
        <w:rPr>
          <w:rStyle w:val="notranslate"/>
          <w:rFonts w:ascii="Arial" w:hAnsi="Arial" w:cs="Arial"/>
          <w:color w:val="000000"/>
          <w:lang w:val="fr-CI"/>
        </w:rPr>
        <w:t xml:space="preserve">2016 des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États membres et </w:t>
      </w:r>
      <w:r w:rsidR="00C712C1" w:rsidRPr="00403E9B">
        <w:rPr>
          <w:rStyle w:val="notranslate"/>
          <w:rFonts w:ascii="Arial" w:hAnsi="Arial" w:cs="Arial"/>
          <w:color w:val="000000"/>
          <w:lang w:val="fr-CI"/>
        </w:rPr>
        <w:t>du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de Président de la CUA sur la Déclaration solennelle sur l’égalité </w:t>
      </w:r>
      <w:r w:rsidR="00CD69B5">
        <w:rPr>
          <w:rStyle w:val="notranslate"/>
          <w:rFonts w:ascii="Arial" w:hAnsi="Arial" w:cs="Arial"/>
          <w:color w:val="000000"/>
          <w:lang w:val="fr-CI"/>
        </w:rPr>
        <w:t xml:space="preserve">entre les </w:t>
      </w:r>
      <w:r w:rsidR="00C712C1" w:rsidRPr="00403E9B">
        <w:rPr>
          <w:rStyle w:val="notranslate"/>
          <w:rFonts w:ascii="Arial" w:hAnsi="Arial" w:cs="Arial"/>
          <w:color w:val="000000"/>
          <w:lang w:val="fr-CI"/>
        </w:rPr>
        <w:t>homme</w:t>
      </w:r>
      <w:r w:rsidR="00CD69B5">
        <w:rPr>
          <w:rStyle w:val="notranslate"/>
          <w:rFonts w:ascii="Arial" w:hAnsi="Arial" w:cs="Arial"/>
          <w:color w:val="000000"/>
          <w:lang w:val="fr-CI"/>
        </w:rPr>
        <w:t>s et les femmes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en Afrique (SDGEA).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000000"/>
          <w:lang w:val="fr-CI"/>
        </w:rPr>
        <w:t xml:space="preserve"> </w:t>
      </w:r>
    </w:p>
    <w:p w:rsidR="00604F10" w:rsidRPr="00403E9B" w:rsidRDefault="00604F10" w:rsidP="00CF1CFA">
      <w:pPr>
        <w:pStyle w:val="Prrafodelista"/>
        <w:numPr>
          <w:ilvl w:val="0"/>
          <w:numId w:val="13"/>
        </w:numPr>
        <w:ind w:left="709" w:hanging="567"/>
        <w:jc w:val="both"/>
        <w:rPr>
          <w:rFonts w:ascii="Arial" w:hAnsi="Arial" w:cs="Arial"/>
          <w:b/>
          <w:lang w:val="fr-CI"/>
        </w:rPr>
      </w:pPr>
      <w:r w:rsidRPr="00403E9B">
        <w:rPr>
          <w:rFonts w:ascii="Arial" w:hAnsi="Arial" w:cs="Arial"/>
          <w:b/>
          <w:lang w:val="fr-CI"/>
        </w:rPr>
        <w:t>L</w:t>
      </w:r>
      <w:r w:rsidR="00C712C1" w:rsidRPr="00403E9B">
        <w:rPr>
          <w:rFonts w:ascii="Arial" w:hAnsi="Arial" w:cs="Arial"/>
          <w:b/>
          <w:lang w:val="fr-CI"/>
        </w:rPr>
        <w:t>a nouvelle</w:t>
      </w:r>
      <w:r w:rsidRPr="00403E9B">
        <w:rPr>
          <w:rFonts w:ascii="Arial" w:hAnsi="Arial" w:cs="Arial"/>
          <w:b/>
          <w:lang w:val="fr-CI"/>
        </w:rPr>
        <w:t xml:space="preserve"> </w:t>
      </w:r>
      <w:r w:rsidR="00C712C1" w:rsidRPr="00403E9B">
        <w:rPr>
          <w:rFonts w:ascii="Arial" w:hAnsi="Arial" w:cs="Arial"/>
          <w:b/>
          <w:lang w:val="fr-CI"/>
        </w:rPr>
        <w:t xml:space="preserve">Stratégie </w:t>
      </w:r>
      <w:r w:rsidRPr="00403E9B">
        <w:rPr>
          <w:rFonts w:ascii="Arial" w:hAnsi="Arial" w:cs="Arial"/>
          <w:b/>
          <w:lang w:val="fr-CI"/>
        </w:rPr>
        <w:t xml:space="preserve">de l’Union africaine </w:t>
      </w:r>
      <w:r w:rsidR="00C712C1" w:rsidRPr="00403E9B">
        <w:rPr>
          <w:rFonts w:ascii="Arial" w:hAnsi="Arial" w:cs="Arial"/>
          <w:b/>
          <w:lang w:val="fr-CI"/>
        </w:rPr>
        <w:t>en matière de genre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b/>
          <w:bCs/>
          <w:color w:val="000000"/>
          <w:lang w:val="fr-CI"/>
        </w:rPr>
        <w:t xml:space="preserve"> </w:t>
      </w:r>
    </w:p>
    <w:p w:rsidR="00604F10" w:rsidRPr="00403E9B" w:rsidRDefault="00604F10" w:rsidP="00E11BED">
      <w:pPr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</w:t>
      </w:r>
      <w:r w:rsidR="00C712C1" w:rsidRPr="00403E9B">
        <w:rPr>
          <w:rStyle w:val="notranslate"/>
          <w:rFonts w:ascii="Arial" w:hAnsi="Arial" w:cs="Arial"/>
          <w:color w:val="000000"/>
          <w:lang w:val="fr-CI"/>
        </w:rPr>
        <w:t>Stratégie de l’UA en matière de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genre sera aligné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C712C1" w:rsidRPr="00403E9B">
        <w:rPr>
          <w:rStyle w:val="notranslate"/>
          <w:rFonts w:ascii="Arial" w:hAnsi="Arial" w:cs="Arial"/>
          <w:color w:val="000000"/>
          <w:lang w:val="fr-CI"/>
        </w:rPr>
        <w:t>sur l’Agenda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2063 et les objectifs de développement durable (ODD), 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en raison de la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convergence des deux 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agendas,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en particulier au niveau des objectifs.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Elle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intégrera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tous les principaux instruments mondiaux, continentaux et sous-régionaux 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visant à réaliser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l’égalité 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homme-femme</w:t>
      </w:r>
      <w:r w:rsidRPr="00403E9B">
        <w:rPr>
          <w:rStyle w:val="notranslate"/>
          <w:rFonts w:ascii="Arial" w:hAnsi="Arial" w:cs="Arial"/>
          <w:color w:val="000000"/>
          <w:lang w:val="fr-CI"/>
        </w:rPr>
        <w:t>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 xml:space="preserve">Stratégie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genre 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s’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appuiera également sur la politique 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 xml:space="preserve">de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CUA 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>en matière d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 xml:space="preserve">’Égalité </w:t>
      </w:r>
      <w:r w:rsidR="003648E4">
        <w:rPr>
          <w:rStyle w:val="notranslate"/>
          <w:rFonts w:ascii="Arial" w:hAnsi="Arial" w:cs="Arial"/>
          <w:color w:val="000000"/>
          <w:lang w:val="fr-CI"/>
        </w:rPr>
        <w:t xml:space="preserve">entre </w:t>
      </w:r>
      <w:r w:rsidR="005854A4">
        <w:rPr>
          <w:rStyle w:val="notranslate"/>
          <w:rFonts w:ascii="Arial" w:hAnsi="Arial" w:cs="Arial"/>
          <w:color w:val="000000"/>
          <w:lang w:val="fr-CI"/>
        </w:rPr>
        <w:t xml:space="preserve">les 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homme</w:t>
      </w:r>
      <w:r w:rsidR="003648E4">
        <w:rPr>
          <w:rStyle w:val="notranslate"/>
          <w:rFonts w:ascii="Arial" w:hAnsi="Arial" w:cs="Arial"/>
          <w:color w:val="000000"/>
          <w:lang w:val="fr-CI"/>
        </w:rPr>
        <w:t xml:space="preserve">s et les 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femme</w:t>
      </w:r>
      <w:r w:rsidR="003648E4">
        <w:rPr>
          <w:rStyle w:val="notranslate"/>
          <w:rFonts w:ascii="Arial" w:hAnsi="Arial" w:cs="Arial"/>
          <w:color w:val="000000"/>
          <w:lang w:val="fr-CI"/>
        </w:rPr>
        <w:t>s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 xml:space="preserve"> et 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>d</w:t>
      </w:r>
      <w:r w:rsidR="008A2128" w:rsidRPr="00403E9B">
        <w:rPr>
          <w:rStyle w:val="notranslate"/>
          <w:rFonts w:ascii="Arial" w:hAnsi="Arial" w:cs="Arial"/>
          <w:color w:val="000000"/>
          <w:lang w:val="fr-CI"/>
        </w:rPr>
        <w:t>’autonomisation des femmes (GEWE)</w:t>
      </w:r>
      <w:r w:rsidR="002E23A4" w:rsidRPr="00403E9B">
        <w:rPr>
          <w:rStyle w:val="notranslate"/>
          <w:rFonts w:ascii="Arial" w:hAnsi="Arial" w:cs="Arial"/>
          <w:color w:val="000000"/>
          <w:lang w:val="fr-CI"/>
        </w:rPr>
        <w:t xml:space="preserve"> et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 xml:space="preserve">sur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les cadres des Nations Unies, la Déclaration solennelle sur l’égalité </w:t>
      </w:r>
      <w:r w:rsidR="003648E4">
        <w:rPr>
          <w:rStyle w:val="notranslate"/>
          <w:rFonts w:ascii="Arial" w:hAnsi="Arial" w:cs="Arial"/>
          <w:color w:val="000000"/>
          <w:lang w:val="fr-CI"/>
        </w:rPr>
        <w:t xml:space="preserve">entre </w:t>
      </w:r>
      <w:r w:rsidR="005854A4">
        <w:rPr>
          <w:rStyle w:val="notranslate"/>
          <w:rFonts w:ascii="Arial" w:hAnsi="Arial" w:cs="Arial"/>
          <w:color w:val="000000"/>
          <w:lang w:val="fr-CI"/>
        </w:rPr>
        <w:t xml:space="preserve">les </w:t>
      </w:r>
      <w:r w:rsidR="003648E4" w:rsidRPr="00403E9B">
        <w:rPr>
          <w:rStyle w:val="notranslate"/>
          <w:rFonts w:ascii="Arial" w:hAnsi="Arial" w:cs="Arial"/>
          <w:color w:val="000000"/>
          <w:lang w:val="fr-CI"/>
        </w:rPr>
        <w:t>homme</w:t>
      </w:r>
      <w:r w:rsidR="003648E4">
        <w:rPr>
          <w:rStyle w:val="notranslate"/>
          <w:rFonts w:ascii="Arial" w:hAnsi="Arial" w:cs="Arial"/>
          <w:color w:val="000000"/>
          <w:lang w:val="fr-CI"/>
        </w:rPr>
        <w:t xml:space="preserve">s et les </w:t>
      </w:r>
      <w:r w:rsidR="003648E4" w:rsidRPr="00403E9B">
        <w:rPr>
          <w:rStyle w:val="notranslate"/>
          <w:rFonts w:ascii="Arial" w:hAnsi="Arial" w:cs="Arial"/>
          <w:color w:val="000000"/>
          <w:lang w:val="fr-CI"/>
        </w:rPr>
        <w:t>femme</w:t>
      </w:r>
      <w:r w:rsidR="003648E4">
        <w:rPr>
          <w:rStyle w:val="notranslate"/>
          <w:rFonts w:ascii="Arial" w:hAnsi="Arial" w:cs="Arial"/>
          <w:color w:val="000000"/>
          <w:lang w:val="fr-CI"/>
        </w:rPr>
        <w:t>s</w:t>
      </w:r>
      <w:r w:rsidR="003648E4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en Afrique (SDGEA) et le </w:t>
      </w:r>
      <w:r w:rsidRPr="00403E9B">
        <w:rPr>
          <w:rStyle w:val="notranslate"/>
          <w:rFonts w:ascii="Arial" w:hAnsi="Arial" w:cs="Arial"/>
          <w:i/>
          <w:iCs/>
          <w:color w:val="000000"/>
          <w:lang w:val="fr-CI"/>
        </w:rPr>
        <w:t>Protocole à la Charte africaine des droits de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i/>
          <w:color w:val="000000"/>
          <w:lang w:val="fr-CI"/>
        </w:rPr>
        <w:t>l’</w:t>
      </w:r>
      <w:r w:rsidRPr="00403E9B">
        <w:rPr>
          <w:rStyle w:val="notranslate"/>
          <w:rFonts w:ascii="Arial" w:hAnsi="Arial" w:cs="Arial"/>
          <w:i/>
          <w:iCs/>
          <w:color w:val="000000"/>
          <w:lang w:val="fr-CI"/>
        </w:rPr>
        <w:t>homme et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i/>
          <w:color w:val="000000"/>
          <w:lang w:val="fr-CI"/>
        </w:rPr>
        <w:t>des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i/>
          <w:iCs/>
          <w:color w:val="000000"/>
          <w:lang w:val="fr-CI"/>
        </w:rPr>
        <w:t xml:space="preserve">peuples relatif aux droits des femmes </w:t>
      </w:r>
      <w:r w:rsidR="0075404F" w:rsidRPr="00403E9B">
        <w:rPr>
          <w:rStyle w:val="notranslate"/>
          <w:rFonts w:ascii="Arial" w:hAnsi="Arial" w:cs="Arial"/>
          <w:i/>
          <w:iCs/>
          <w:color w:val="000000"/>
          <w:lang w:val="fr-CI"/>
        </w:rPr>
        <w:t xml:space="preserve">en Afrique </w:t>
      </w:r>
      <w:r w:rsidR="002E23A4" w:rsidRPr="00403E9B">
        <w:rPr>
          <w:rStyle w:val="notranslate"/>
          <w:rFonts w:ascii="Arial" w:hAnsi="Arial" w:cs="Arial"/>
          <w:iCs/>
          <w:color w:val="000000"/>
          <w:lang w:val="fr-CI"/>
        </w:rPr>
        <w:t>–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Protocole </w:t>
      </w:r>
      <w:r w:rsidR="0075404F" w:rsidRPr="00403E9B">
        <w:rPr>
          <w:rStyle w:val="notranslate"/>
          <w:rFonts w:ascii="Arial" w:hAnsi="Arial" w:cs="Arial"/>
          <w:iCs/>
          <w:color w:val="000000"/>
          <w:lang w:val="fr-CI"/>
        </w:rPr>
        <w:t xml:space="preserve">de </w:t>
      </w:r>
      <w:r w:rsidRPr="00403E9B">
        <w:rPr>
          <w:rStyle w:val="notranslate"/>
          <w:rFonts w:ascii="Arial" w:hAnsi="Arial" w:cs="Arial"/>
          <w:color w:val="000000"/>
          <w:lang w:val="fr-CI"/>
        </w:rPr>
        <w:t>Maputo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>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 xml:space="preserve">La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politique de 2009 a 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>depuis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guidé le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>s efforts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de l’UA dans la mise en œuvre de son engagement </w:t>
      </w:r>
      <w:r w:rsidR="002E23A4" w:rsidRPr="00403E9B">
        <w:rPr>
          <w:rStyle w:val="notranslate"/>
          <w:rFonts w:ascii="Arial" w:hAnsi="Arial" w:cs="Arial"/>
          <w:color w:val="000000"/>
          <w:lang w:val="fr-CI"/>
        </w:rPr>
        <w:t>en matière de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GEWE tel que défini à l’article 4L de l’Acte constitutif.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</w:t>
      </w:r>
      <w:r w:rsidR="0075404F" w:rsidRPr="00403E9B">
        <w:rPr>
          <w:rStyle w:val="notranslate"/>
          <w:rFonts w:ascii="Arial" w:hAnsi="Arial" w:cs="Arial"/>
          <w:color w:val="000000"/>
          <w:lang w:val="fr-CI"/>
        </w:rPr>
        <w:t xml:space="preserve">Stratégie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genre </w:t>
      </w:r>
      <w:r w:rsidR="008F0400" w:rsidRPr="00403E9B">
        <w:rPr>
          <w:rStyle w:val="notranslate"/>
          <w:rFonts w:ascii="Arial" w:hAnsi="Arial" w:cs="Arial"/>
          <w:color w:val="000000"/>
          <w:lang w:val="fr-CI"/>
        </w:rPr>
        <w:t>s’avère toutefois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nécessaire </w:t>
      </w:r>
      <w:r w:rsidR="008F0400" w:rsidRPr="00403E9B">
        <w:rPr>
          <w:rStyle w:val="notranslate"/>
          <w:rFonts w:ascii="Arial" w:hAnsi="Arial" w:cs="Arial"/>
          <w:color w:val="000000"/>
          <w:lang w:val="fr-CI"/>
        </w:rPr>
        <w:t>si l’on veut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refléter les réalités sociales et économiques changeantes, </w:t>
      </w:r>
      <w:r w:rsidR="008F0400" w:rsidRPr="00403E9B">
        <w:rPr>
          <w:rStyle w:val="notranslate"/>
          <w:rFonts w:ascii="Arial" w:hAnsi="Arial" w:cs="Arial"/>
          <w:color w:val="000000"/>
          <w:lang w:val="fr-CI"/>
        </w:rPr>
        <w:t>accélérer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le rythme de mise en œuvre des engagements et atteindre les buts et objectifs </w:t>
      </w:r>
      <w:r w:rsidR="008F0400" w:rsidRPr="00403E9B">
        <w:rPr>
          <w:rStyle w:val="notranslate"/>
          <w:rFonts w:ascii="Arial" w:hAnsi="Arial" w:cs="Arial"/>
          <w:color w:val="000000"/>
          <w:lang w:val="fr-CI"/>
        </w:rPr>
        <w:t>en matière de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GEWE définis dans l’Agenda 2063 et les ODD</w:t>
      </w:r>
      <w:r w:rsidR="008F0400" w:rsidRPr="00403E9B">
        <w:rPr>
          <w:rStyle w:val="notranslate"/>
          <w:rFonts w:ascii="Arial" w:hAnsi="Arial" w:cs="Arial"/>
          <w:color w:val="000000"/>
          <w:lang w:val="fr-CI"/>
        </w:rPr>
        <w:t xml:space="preserve"> de </w:t>
      </w:r>
      <w:r w:rsidRPr="00403E9B">
        <w:rPr>
          <w:rStyle w:val="notranslate"/>
          <w:rFonts w:ascii="Arial" w:hAnsi="Arial" w:cs="Arial"/>
          <w:color w:val="000000"/>
          <w:lang w:val="fr-CI"/>
        </w:rPr>
        <w:t>2030.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>Le rapport comprendra</w:t>
      </w:r>
      <w:r w:rsidR="008F0400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: un résumé analytique, un cadre de résultats, un plan opérationnel, un plan </w:t>
      </w:r>
      <w:r w:rsidR="008F0400" w:rsidRPr="00403E9B">
        <w:rPr>
          <w:rStyle w:val="notranslate"/>
          <w:rFonts w:ascii="Arial" w:hAnsi="Arial" w:cs="Arial"/>
          <w:color w:val="000000"/>
          <w:lang w:val="fr-CI"/>
        </w:rPr>
        <w:t xml:space="preserve">et du matériel </w:t>
      </w:r>
      <w:r w:rsidR="002E23A4" w:rsidRPr="00403E9B">
        <w:rPr>
          <w:rStyle w:val="notranslate"/>
          <w:rFonts w:ascii="Arial" w:hAnsi="Arial" w:cs="Arial"/>
          <w:color w:val="000000"/>
          <w:lang w:val="fr-CI"/>
        </w:rPr>
        <w:t>lié à</w:t>
      </w:r>
      <w:r w:rsidR="008F0400" w:rsidRPr="00403E9B">
        <w:rPr>
          <w:rStyle w:val="notranslate"/>
          <w:rFonts w:ascii="Arial" w:hAnsi="Arial" w:cs="Arial"/>
          <w:color w:val="000000"/>
          <w:lang w:val="fr-CI"/>
        </w:rPr>
        <w:t xml:space="preserve"> l</w:t>
      </w:r>
      <w:r w:rsidRPr="00403E9B">
        <w:rPr>
          <w:rStyle w:val="notranslate"/>
          <w:rFonts w:ascii="Arial" w:hAnsi="Arial" w:cs="Arial"/>
          <w:color w:val="000000"/>
          <w:lang w:val="fr-CI"/>
        </w:rPr>
        <w:t>’image de marque.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b/>
          <w:bCs/>
          <w:color w:val="000000"/>
          <w:lang w:val="fr-CI"/>
        </w:rPr>
        <w:t xml:space="preserve"> </w:t>
      </w:r>
    </w:p>
    <w:p w:rsidR="00604F10" w:rsidRPr="00403E9B" w:rsidRDefault="008F0400" w:rsidP="00CF1CFA">
      <w:pPr>
        <w:pStyle w:val="Prrafodelista"/>
        <w:numPr>
          <w:ilvl w:val="0"/>
          <w:numId w:val="13"/>
        </w:numPr>
        <w:ind w:left="709" w:hanging="425"/>
        <w:jc w:val="both"/>
        <w:rPr>
          <w:rFonts w:ascii="Arial" w:hAnsi="Arial" w:cs="Arial"/>
          <w:b/>
          <w:lang w:val="fr-CI"/>
        </w:rPr>
      </w:pPr>
      <w:r w:rsidRPr="00403E9B">
        <w:rPr>
          <w:rFonts w:ascii="Arial" w:hAnsi="Arial"/>
          <w:b/>
          <w:lang w:val="fr-CI"/>
        </w:rPr>
        <w:t xml:space="preserve">Évaluation </w:t>
      </w:r>
      <w:r w:rsidR="00604F10" w:rsidRPr="00403E9B">
        <w:rPr>
          <w:rFonts w:ascii="Arial" w:hAnsi="Arial"/>
          <w:b/>
          <w:lang w:val="fr-CI"/>
        </w:rPr>
        <w:t xml:space="preserve">de </w:t>
      </w:r>
      <w:r w:rsidRPr="00403E9B">
        <w:rPr>
          <w:rFonts w:ascii="Arial" w:hAnsi="Arial"/>
          <w:b/>
          <w:lang w:val="fr-CI"/>
        </w:rPr>
        <w:t xml:space="preserve">la Politique 2009 de </w:t>
      </w:r>
      <w:r w:rsidR="00604F10" w:rsidRPr="00403E9B">
        <w:rPr>
          <w:rFonts w:ascii="Arial" w:hAnsi="Arial"/>
          <w:b/>
          <w:lang w:val="fr-CI"/>
        </w:rPr>
        <w:t xml:space="preserve">l’UA </w:t>
      </w:r>
      <w:r w:rsidRPr="00403E9B">
        <w:rPr>
          <w:rFonts w:ascii="Arial" w:hAnsi="Arial"/>
          <w:b/>
          <w:lang w:val="fr-CI"/>
        </w:rPr>
        <w:t xml:space="preserve">en matière </w:t>
      </w:r>
      <w:r w:rsidR="00604F10" w:rsidRPr="00403E9B">
        <w:rPr>
          <w:rFonts w:ascii="Arial" w:hAnsi="Arial"/>
          <w:b/>
          <w:lang w:val="fr-CI"/>
        </w:rPr>
        <w:t>de genre</w:t>
      </w:r>
    </w:p>
    <w:p w:rsidR="00604F10" w:rsidRPr="00403E9B" w:rsidRDefault="00604F10" w:rsidP="00E11BED">
      <w:pPr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000000"/>
          <w:lang w:val="fr-CI"/>
        </w:rPr>
        <w:t xml:space="preserve"> </w:t>
      </w:r>
    </w:p>
    <w:p w:rsidR="00604F10" w:rsidRPr="00403E9B" w:rsidRDefault="00604F10" w:rsidP="00E11BED">
      <w:pPr>
        <w:jc w:val="both"/>
        <w:rPr>
          <w:rStyle w:val="notranslate"/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Adoptée en 2009, la </w:t>
      </w:r>
      <w:r w:rsidR="008F0400" w:rsidRPr="00403E9B">
        <w:rPr>
          <w:rStyle w:val="notranslate"/>
          <w:rFonts w:ascii="Arial" w:hAnsi="Arial" w:cs="Arial"/>
          <w:color w:val="000000"/>
          <w:lang w:val="fr-CI"/>
        </w:rPr>
        <w:t xml:space="preserve">Politique </w:t>
      </w:r>
      <w:r w:rsidRPr="00403E9B">
        <w:rPr>
          <w:rStyle w:val="notranslate"/>
          <w:rFonts w:ascii="Arial" w:hAnsi="Arial" w:cs="Arial"/>
          <w:color w:val="000000"/>
          <w:lang w:val="fr-CI"/>
        </w:rPr>
        <w:t>de l’UA en matière de genre a doté l’</w:t>
      </w:r>
      <w:r w:rsidR="002E23A4" w:rsidRPr="00403E9B">
        <w:rPr>
          <w:rStyle w:val="notranslate"/>
          <w:rFonts w:ascii="Arial" w:hAnsi="Arial" w:cs="Arial"/>
          <w:color w:val="000000"/>
          <w:lang w:val="fr-CI"/>
        </w:rPr>
        <w:t>O</w:t>
      </w:r>
      <w:r w:rsidRPr="00403E9B">
        <w:rPr>
          <w:rStyle w:val="notranslate"/>
          <w:rFonts w:ascii="Arial" w:hAnsi="Arial" w:cs="Arial"/>
          <w:color w:val="000000"/>
          <w:lang w:val="fr-CI"/>
        </w:rPr>
        <w:t>rganisation d’une feuille de route et d’engagements clairs.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Ces engagements </w:t>
      </w:r>
      <w:r w:rsidR="00BB6CD3" w:rsidRPr="00403E9B">
        <w:rPr>
          <w:rStyle w:val="notranslate"/>
          <w:rFonts w:ascii="Arial" w:hAnsi="Arial" w:cs="Arial"/>
          <w:color w:val="000000"/>
          <w:lang w:val="fr-CI"/>
        </w:rPr>
        <w:t xml:space="preserve">sont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notamment </w:t>
      </w:r>
      <w:r w:rsidR="00BB6CD3" w:rsidRPr="00403E9B">
        <w:rPr>
          <w:rStyle w:val="notranslate"/>
          <w:rFonts w:ascii="Arial" w:hAnsi="Arial" w:cs="Arial"/>
          <w:color w:val="000000"/>
          <w:lang w:val="fr-CI"/>
        </w:rPr>
        <w:t xml:space="preserve">énoncés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dans l’article 4 (L) de l’Acte constitutif, le Protocole à la Charte africaine des droits de l’homme et des peuples relatif aux droits des femmes en Afrique (Protocole de Maputo), la Déclaration solennelle sur l’égalité </w:t>
      </w:r>
      <w:r w:rsidR="0045558C">
        <w:rPr>
          <w:rStyle w:val="notranslate"/>
          <w:rFonts w:ascii="Arial" w:hAnsi="Arial" w:cs="Arial"/>
          <w:color w:val="000000"/>
          <w:lang w:val="fr-CI"/>
        </w:rPr>
        <w:t xml:space="preserve">entre </w:t>
      </w:r>
      <w:r w:rsidR="005854A4">
        <w:rPr>
          <w:rStyle w:val="notranslate"/>
          <w:rFonts w:ascii="Arial" w:hAnsi="Arial" w:cs="Arial"/>
          <w:color w:val="000000"/>
          <w:lang w:val="fr-CI"/>
        </w:rPr>
        <w:t xml:space="preserve">les </w:t>
      </w:r>
      <w:r w:rsidR="0045558C" w:rsidRPr="00403E9B">
        <w:rPr>
          <w:rStyle w:val="notranslate"/>
          <w:rFonts w:ascii="Arial" w:hAnsi="Arial" w:cs="Arial"/>
          <w:color w:val="000000"/>
          <w:lang w:val="fr-CI"/>
        </w:rPr>
        <w:t>homme</w:t>
      </w:r>
      <w:r w:rsidR="0045558C">
        <w:rPr>
          <w:rStyle w:val="notranslate"/>
          <w:rFonts w:ascii="Arial" w:hAnsi="Arial" w:cs="Arial"/>
          <w:color w:val="000000"/>
          <w:lang w:val="fr-CI"/>
        </w:rPr>
        <w:t xml:space="preserve">s et les </w:t>
      </w:r>
      <w:r w:rsidR="0045558C" w:rsidRPr="00403E9B">
        <w:rPr>
          <w:rStyle w:val="notranslate"/>
          <w:rFonts w:ascii="Arial" w:hAnsi="Arial" w:cs="Arial"/>
          <w:color w:val="000000"/>
          <w:lang w:val="fr-CI"/>
        </w:rPr>
        <w:t>femme</w:t>
      </w:r>
      <w:r w:rsidR="0045558C">
        <w:rPr>
          <w:rStyle w:val="notranslate"/>
          <w:rFonts w:ascii="Arial" w:hAnsi="Arial" w:cs="Arial"/>
          <w:color w:val="000000"/>
          <w:lang w:val="fr-CI"/>
        </w:rPr>
        <w:t>s</w:t>
      </w:r>
      <w:r w:rsidR="0045558C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en Afrique) et la </w:t>
      </w:r>
      <w:r w:rsidR="00BB6CD3" w:rsidRPr="00403E9B">
        <w:rPr>
          <w:rStyle w:val="notranslate"/>
          <w:rFonts w:ascii="Arial" w:hAnsi="Arial" w:cs="Arial"/>
          <w:color w:val="000000"/>
          <w:lang w:val="fr-CI"/>
        </w:rPr>
        <w:t xml:space="preserve">Reconstruction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et le développement post-conflit adoptés par les chefs d’État et de gouvernement en 2006. La politique définit également des domaines de responsabilité spécifiques pour les parties prenantes (internes et </w:t>
      </w:r>
      <w:r w:rsidR="00BB6CD3" w:rsidRPr="00403E9B">
        <w:rPr>
          <w:rStyle w:val="notranslate"/>
          <w:rFonts w:ascii="Arial" w:hAnsi="Arial" w:cs="Arial"/>
          <w:color w:val="000000"/>
          <w:lang w:val="fr-CI"/>
        </w:rPr>
        <w:t xml:space="preserve">externes) et </w:t>
      </w:r>
      <w:r w:rsidRPr="00403E9B">
        <w:rPr>
          <w:rStyle w:val="notranslate"/>
          <w:rFonts w:ascii="Arial" w:hAnsi="Arial" w:cs="Arial"/>
          <w:color w:val="000000"/>
          <w:lang w:val="fr-CI"/>
        </w:rPr>
        <w:t>reconnai</w:t>
      </w:r>
      <w:r w:rsidR="00BB6CD3" w:rsidRPr="00403E9B">
        <w:rPr>
          <w:rStyle w:val="notranslate"/>
          <w:rFonts w:ascii="Arial" w:hAnsi="Arial" w:cs="Arial"/>
          <w:color w:val="000000"/>
          <w:lang w:val="fr-CI"/>
        </w:rPr>
        <w:t>t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que la réalisation de GEWE </w:t>
      </w:r>
      <w:r w:rsidR="00BB6CD3" w:rsidRPr="00403E9B">
        <w:rPr>
          <w:rStyle w:val="notranslate"/>
          <w:rFonts w:ascii="Arial" w:hAnsi="Arial" w:cs="Arial"/>
          <w:color w:val="000000"/>
          <w:lang w:val="fr-CI"/>
        </w:rPr>
        <w:t xml:space="preserve">requiert </w:t>
      </w:r>
      <w:r w:rsidR="002E23A4" w:rsidRPr="00403E9B">
        <w:rPr>
          <w:rStyle w:val="notranslate"/>
          <w:rFonts w:ascii="Arial" w:hAnsi="Arial" w:cs="Arial"/>
          <w:color w:val="000000"/>
          <w:lang w:val="fr-CI"/>
        </w:rPr>
        <w:t>la création de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synergies, </w:t>
      </w:r>
      <w:r w:rsidR="002E23A4" w:rsidRPr="00403E9B">
        <w:rPr>
          <w:rStyle w:val="notranslate"/>
          <w:rFonts w:ascii="Arial" w:hAnsi="Arial" w:cs="Arial"/>
          <w:color w:val="000000"/>
          <w:lang w:val="fr-CI"/>
        </w:rPr>
        <w:t>d’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alliances stratégiques et </w:t>
      </w:r>
      <w:r w:rsidR="002E23A4" w:rsidRPr="00403E9B">
        <w:rPr>
          <w:rStyle w:val="notranslate"/>
          <w:rFonts w:ascii="Arial" w:hAnsi="Arial" w:cs="Arial"/>
          <w:color w:val="000000"/>
          <w:lang w:val="fr-CI"/>
        </w:rPr>
        <w:t>l’exploitation</w:t>
      </w:r>
      <w:r w:rsidR="00BB6CD3" w:rsidRPr="00403E9B">
        <w:rPr>
          <w:rStyle w:val="notranslate"/>
          <w:rFonts w:ascii="Arial" w:hAnsi="Arial" w:cs="Arial"/>
          <w:color w:val="000000"/>
          <w:lang w:val="fr-CI"/>
        </w:rPr>
        <w:t xml:space="preserve"> des </w:t>
      </w:r>
      <w:r w:rsidRPr="00403E9B">
        <w:rPr>
          <w:rStyle w:val="notranslate"/>
          <w:rFonts w:ascii="Arial" w:hAnsi="Arial" w:cs="Arial"/>
          <w:color w:val="000000"/>
          <w:lang w:val="fr-CI"/>
        </w:rPr>
        <w:t>avantages comparatifs.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Cette approche est devenue encore plus </w:t>
      </w:r>
      <w:r w:rsidRPr="00403E9B">
        <w:rPr>
          <w:rStyle w:val="notranslate"/>
          <w:rFonts w:ascii="Arial" w:hAnsi="Arial" w:cs="Arial"/>
          <w:color w:val="000000"/>
          <w:lang w:val="fr-CI"/>
        </w:rPr>
        <w:lastRenderedPageBreak/>
        <w:t xml:space="preserve">pertinente dans le contexte de l’Agenda 2063 et des Objectifs de développement durable (ODD) qui définissent désormais la manière dont le développement est réalisé et </w:t>
      </w:r>
      <w:r w:rsidR="007814C4" w:rsidRPr="00403E9B">
        <w:rPr>
          <w:rStyle w:val="notranslate"/>
          <w:rFonts w:ascii="Arial" w:hAnsi="Arial" w:cs="Arial"/>
          <w:color w:val="000000"/>
          <w:lang w:val="fr-CI"/>
        </w:rPr>
        <w:t>sur les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quels </w:t>
      </w:r>
      <w:r w:rsidR="007814C4" w:rsidRPr="00403E9B">
        <w:rPr>
          <w:rStyle w:val="notranslate"/>
          <w:rFonts w:ascii="Arial" w:hAnsi="Arial" w:cs="Arial"/>
          <w:color w:val="000000"/>
          <w:lang w:val="fr-CI"/>
        </w:rPr>
        <w:t>la Direction Genre de la CUA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alignera la stratégie de l’UA pour </w:t>
      </w:r>
      <w:r w:rsidR="002E23A4" w:rsidRPr="00403E9B">
        <w:rPr>
          <w:rStyle w:val="notranslate"/>
          <w:rFonts w:ascii="Arial" w:hAnsi="Arial" w:cs="Arial"/>
          <w:color w:val="000000"/>
          <w:lang w:val="fr-CI"/>
        </w:rPr>
        <w:t>réaliser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2E23A4" w:rsidRPr="00403E9B">
        <w:rPr>
          <w:rStyle w:val="notranslate"/>
          <w:rFonts w:ascii="Arial" w:hAnsi="Arial" w:cs="Arial"/>
          <w:color w:val="000000"/>
          <w:lang w:val="fr-CI"/>
        </w:rPr>
        <w:t xml:space="preserve">l’égalité </w:t>
      </w:r>
      <w:r w:rsidR="0045558C">
        <w:rPr>
          <w:rStyle w:val="notranslate"/>
          <w:rFonts w:ascii="Arial" w:hAnsi="Arial" w:cs="Arial"/>
          <w:color w:val="000000"/>
          <w:lang w:val="fr-CI"/>
        </w:rPr>
        <w:t xml:space="preserve">entre </w:t>
      </w:r>
      <w:r w:rsidR="005854A4">
        <w:rPr>
          <w:rStyle w:val="notranslate"/>
          <w:rFonts w:ascii="Arial" w:hAnsi="Arial" w:cs="Arial"/>
          <w:color w:val="000000"/>
          <w:lang w:val="fr-CI"/>
        </w:rPr>
        <w:t xml:space="preserve">les </w:t>
      </w:r>
      <w:r w:rsidR="0045558C" w:rsidRPr="00403E9B">
        <w:rPr>
          <w:rStyle w:val="notranslate"/>
          <w:rFonts w:ascii="Arial" w:hAnsi="Arial" w:cs="Arial"/>
          <w:color w:val="000000"/>
          <w:lang w:val="fr-CI"/>
        </w:rPr>
        <w:t>homme</w:t>
      </w:r>
      <w:r w:rsidR="0045558C">
        <w:rPr>
          <w:rStyle w:val="notranslate"/>
          <w:rFonts w:ascii="Arial" w:hAnsi="Arial" w:cs="Arial"/>
          <w:color w:val="000000"/>
          <w:lang w:val="fr-CI"/>
        </w:rPr>
        <w:t xml:space="preserve">s et les </w:t>
      </w:r>
      <w:r w:rsidR="0045558C" w:rsidRPr="00403E9B">
        <w:rPr>
          <w:rStyle w:val="notranslate"/>
          <w:rFonts w:ascii="Arial" w:hAnsi="Arial" w:cs="Arial"/>
          <w:color w:val="000000"/>
          <w:lang w:val="fr-CI"/>
        </w:rPr>
        <w:t>femme</w:t>
      </w:r>
      <w:r w:rsidR="0045558C">
        <w:rPr>
          <w:rStyle w:val="notranslate"/>
          <w:rFonts w:ascii="Arial" w:hAnsi="Arial" w:cs="Arial"/>
          <w:color w:val="000000"/>
          <w:lang w:val="fr-CI"/>
        </w:rPr>
        <w:t>s</w:t>
      </w:r>
      <w:r w:rsidR="0045558C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2E23A4" w:rsidRPr="00403E9B">
        <w:rPr>
          <w:rStyle w:val="notranslate"/>
          <w:rFonts w:ascii="Arial" w:hAnsi="Arial" w:cs="Arial"/>
          <w:color w:val="000000"/>
          <w:lang w:val="fr-CI"/>
        </w:rPr>
        <w:t>et l’autonomisation des femmes</w:t>
      </w:r>
      <w:r w:rsidRPr="00403E9B">
        <w:rPr>
          <w:rStyle w:val="notranslate"/>
          <w:rFonts w:ascii="Arial" w:hAnsi="Arial" w:cs="Arial"/>
          <w:color w:val="000000"/>
          <w:lang w:val="fr-CI"/>
        </w:rPr>
        <w:t>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L’évaluation </w:t>
      </w:r>
      <w:r w:rsidR="007814C4" w:rsidRPr="00403E9B">
        <w:rPr>
          <w:rStyle w:val="notranslate"/>
          <w:rFonts w:ascii="Arial" w:hAnsi="Arial" w:cs="Arial"/>
          <w:color w:val="000000"/>
          <w:lang w:val="fr-CI"/>
        </w:rPr>
        <w:t>donnera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des informations sur les progrès réalisés dans la mise en œuvre de la politique actuelle</w:t>
      </w:r>
      <w:r w:rsidR="007814C4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et </w:t>
      </w:r>
      <w:r w:rsidR="007814C4" w:rsidRPr="00403E9B">
        <w:rPr>
          <w:rStyle w:val="notranslate"/>
          <w:rFonts w:ascii="Arial" w:hAnsi="Arial" w:cs="Arial"/>
          <w:color w:val="000000"/>
          <w:lang w:val="fr-CI"/>
        </w:rPr>
        <w:t>sur la manière d’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utiliser ces résultats et recommandations pour éclairer </w:t>
      </w:r>
      <w:r w:rsidR="001E3045" w:rsidRPr="00403E9B">
        <w:rPr>
          <w:rStyle w:val="notranslate"/>
          <w:rFonts w:ascii="Arial" w:hAnsi="Arial" w:cs="Arial"/>
          <w:color w:val="000000"/>
          <w:lang w:val="fr-CI"/>
        </w:rPr>
        <w:t xml:space="preserve">l’élaboration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de la nouvelle stratégie </w:t>
      </w:r>
      <w:r w:rsidR="00341EEC" w:rsidRPr="00403E9B">
        <w:rPr>
          <w:rStyle w:val="notranslate"/>
          <w:rFonts w:ascii="Arial" w:hAnsi="Arial" w:cs="Arial"/>
          <w:color w:val="000000"/>
          <w:lang w:val="fr-CI"/>
        </w:rPr>
        <w:t xml:space="preserve">en matière </w:t>
      </w:r>
      <w:r w:rsidRPr="00403E9B">
        <w:rPr>
          <w:rStyle w:val="notranslate"/>
          <w:rFonts w:ascii="Arial" w:hAnsi="Arial" w:cs="Arial"/>
          <w:color w:val="000000"/>
          <w:lang w:val="fr-CI"/>
        </w:rPr>
        <w:t>de genre.</w:t>
      </w:r>
    </w:p>
    <w:p w:rsidR="00594489" w:rsidRPr="00403E9B" w:rsidRDefault="00594489" w:rsidP="00E11BED">
      <w:pPr>
        <w:jc w:val="both"/>
        <w:rPr>
          <w:rFonts w:ascii="Arial" w:hAnsi="Arial" w:cs="Arial"/>
          <w:color w:val="000000"/>
          <w:lang w:val="fr-CI"/>
        </w:rPr>
      </w:pPr>
    </w:p>
    <w:p w:rsidR="00604F10" w:rsidRPr="00403E9B" w:rsidRDefault="00604F10" w:rsidP="00CF1CFA">
      <w:pPr>
        <w:pStyle w:val="Prrafodelista"/>
        <w:numPr>
          <w:ilvl w:val="0"/>
          <w:numId w:val="13"/>
        </w:numPr>
        <w:ind w:left="851" w:hanging="567"/>
        <w:jc w:val="both"/>
        <w:rPr>
          <w:rFonts w:ascii="Arial" w:hAnsi="Arial"/>
          <w:b/>
          <w:lang w:val="fr-CI"/>
        </w:rPr>
      </w:pPr>
      <w:r w:rsidRPr="00403E9B">
        <w:rPr>
          <w:rFonts w:ascii="Arial" w:hAnsi="Arial"/>
          <w:b/>
          <w:lang w:val="fr-CI"/>
        </w:rPr>
        <w:t xml:space="preserve">La nouvelle </w:t>
      </w:r>
      <w:r w:rsidR="00341EEC" w:rsidRPr="00403E9B">
        <w:rPr>
          <w:rFonts w:ascii="Arial" w:hAnsi="Arial"/>
          <w:b/>
          <w:lang w:val="fr-CI"/>
        </w:rPr>
        <w:t xml:space="preserve">Stratégie </w:t>
      </w:r>
      <w:r w:rsidRPr="00403E9B">
        <w:rPr>
          <w:rFonts w:ascii="Arial" w:hAnsi="Arial"/>
          <w:b/>
          <w:lang w:val="fr-CI"/>
        </w:rPr>
        <w:t>de communication de l’UA sur le genre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b/>
          <w:bCs/>
          <w:color w:val="000000"/>
          <w:lang w:val="fr-CI"/>
        </w:rPr>
        <w:t xml:space="preserve"> </w:t>
      </w:r>
    </w:p>
    <w:p w:rsidR="00604F10" w:rsidRPr="00403E9B" w:rsidRDefault="00604F10" w:rsidP="00E11BED">
      <w:pPr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Stratégie de </w:t>
      </w:r>
      <w:r w:rsidR="00341EEC" w:rsidRPr="00403E9B">
        <w:rPr>
          <w:rStyle w:val="notranslate"/>
          <w:rFonts w:ascii="Arial" w:hAnsi="Arial" w:cs="Arial"/>
          <w:color w:val="000000"/>
          <w:lang w:val="fr-CI"/>
        </w:rPr>
        <w:t xml:space="preserve">communication de l’Union africaine sur le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genre améliorera la visibilité </w:t>
      </w:r>
      <w:r w:rsidR="00341EEC" w:rsidRPr="00403E9B">
        <w:rPr>
          <w:rStyle w:val="notranslate"/>
          <w:rFonts w:ascii="Arial" w:hAnsi="Arial" w:cs="Arial"/>
          <w:color w:val="000000"/>
          <w:lang w:val="fr-CI"/>
        </w:rPr>
        <w:t>et renforcera également la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sensibilisation et la connaissance de l’</w:t>
      </w:r>
      <w:r w:rsidR="00341EEC" w:rsidRPr="00403E9B">
        <w:rPr>
          <w:rStyle w:val="notranslate"/>
          <w:rFonts w:ascii="Arial" w:hAnsi="Arial" w:cs="Arial"/>
          <w:color w:val="000000"/>
          <w:lang w:val="fr-CI"/>
        </w:rPr>
        <w:t>Agenda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341EEC" w:rsidRPr="00403E9B">
        <w:rPr>
          <w:rStyle w:val="notranslate"/>
          <w:rFonts w:ascii="Arial" w:hAnsi="Arial" w:cs="Arial"/>
          <w:color w:val="000000"/>
          <w:lang w:val="fr-CI"/>
        </w:rPr>
        <w:t>de l’UA sur le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genre et </w:t>
      </w:r>
      <w:r w:rsidR="00341EEC" w:rsidRPr="00403E9B">
        <w:rPr>
          <w:rStyle w:val="notranslate"/>
          <w:rFonts w:ascii="Arial" w:hAnsi="Arial" w:cs="Arial"/>
          <w:color w:val="000000"/>
          <w:lang w:val="fr-CI"/>
        </w:rPr>
        <w:t xml:space="preserve">le travail de la Direction Femme, Genre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et </w:t>
      </w:r>
      <w:r w:rsidR="00341EEC" w:rsidRPr="00403E9B">
        <w:rPr>
          <w:rStyle w:val="notranslate"/>
          <w:rFonts w:ascii="Arial" w:hAnsi="Arial" w:cs="Arial"/>
          <w:color w:val="000000"/>
          <w:lang w:val="fr-CI"/>
        </w:rPr>
        <w:t xml:space="preserve">Développement de l’UA </w:t>
      </w:r>
      <w:r w:rsidRPr="00403E9B">
        <w:rPr>
          <w:rStyle w:val="notranslate"/>
          <w:rFonts w:ascii="Arial" w:hAnsi="Arial" w:cs="Arial"/>
          <w:color w:val="000000"/>
          <w:lang w:val="fr-CI"/>
        </w:rPr>
        <w:t>(</w:t>
      </w:r>
      <w:r w:rsidR="00341EEC" w:rsidRPr="00403E9B">
        <w:rPr>
          <w:rStyle w:val="notranslate"/>
          <w:rFonts w:ascii="Arial" w:hAnsi="Arial" w:cs="Arial"/>
          <w:color w:val="000000"/>
          <w:lang w:val="fr-CI"/>
        </w:rPr>
        <w:t>WGDD</w:t>
      </w:r>
      <w:r w:rsidRPr="00403E9B">
        <w:rPr>
          <w:rStyle w:val="notranslate"/>
          <w:rFonts w:ascii="Arial" w:hAnsi="Arial" w:cs="Arial"/>
          <w:color w:val="000000"/>
          <w:lang w:val="fr-CI"/>
        </w:rPr>
        <w:t>).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>Cela permettra à</w:t>
      </w:r>
      <w:r w:rsidR="00341EEC" w:rsidRPr="00403E9B">
        <w:rPr>
          <w:rStyle w:val="notranslate"/>
          <w:rFonts w:ascii="Arial" w:hAnsi="Arial" w:cs="Arial"/>
          <w:color w:val="000000"/>
          <w:lang w:val="fr-CI"/>
        </w:rPr>
        <w:t xml:space="preserve"> la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WGDD </w:t>
      </w:r>
      <w:r w:rsidR="00341EEC" w:rsidRPr="00403E9B">
        <w:rPr>
          <w:rStyle w:val="notranslate"/>
          <w:rFonts w:ascii="Arial" w:hAnsi="Arial" w:cs="Arial"/>
          <w:color w:val="000000"/>
          <w:lang w:val="fr-CI"/>
        </w:rPr>
        <w:t>d’être connue du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public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 xml:space="preserve">,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de renforcer la volonté politique à l’appui de sa mission et de ses objectifs,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et de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renforcer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davantage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sa crédibilité et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son image de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marque.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 xml:space="preserve">Stratégie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de communication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bâtira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une culture d’entreprise sur la programmation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 xml:space="preserve">prenant en compte </w:t>
      </w:r>
      <w:r w:rsidR="001E3045" w:rsidRPr="00403E9B">
        <w:rPr>
          <w:rStyle w:val="notranslate"/>
          <w:rFonts w:ascii="Arial" w:hAnsi="Arial" w:cs="Arial"/>
          <w:color w:val="000000"/>
          <w:lang w:val="fr-CI"/>
        </w:rPr>
        <w:t xml:space="preserve">la </w:t>
      </w:r>
      <w:r w:rsidR="00C12503" w:rsidRPr="00403E9B">
        <w:rPr>
          <w:rStyle w:val="notranslate"/>
          <w:rFonts w:ascii="Arial" w:hAnsi="Arial" w:cs="Arial"/>
          <w:color w:val="000000"/>
          <w:lang w:val="fr-CI"/>
        </w:rPr>
        <w:t>dimens</w:t>
      </w:r>
      <w:r w:rsidR="00C12503">
        <w:rPr>
          <w:rStyle w:val="notranslate"/>
          <w:rFonts w:ascii="Arial" w:hAnsi="Arial" w:cs="Arial"/>
          <w:color w:val="000000"/>
          <w:lang w:val="fr-CI"/>
        </w:rPr>
        <w:t>ion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genre,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le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message et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la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communication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 xml:space="preserve">sur le genre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et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s’assurera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que l’UA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s’exprime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d’une seule voix sur l’ensemble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 xml:space="preserve">des questions relatives à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l’égalité </w:t>
      </w:r>
      <w:r w:rsidR="00C12503">
        <w:rPr>
          <w:rStyle w:val="notranslate"/>
          <w:rFonts w:ascii="Arial" w:hAnsi="Arial" w:cs="Arial"/>
          <w:color w:val="000000"/>
          <w:lang w:val="fr-CI"/>
        </w:rPr>
        <w:t xml:space="preserve">entre </w:t>
      </w:r>
      <w:r w:rsidR="005854A4">
        <w:rPr>
          <w:rStyle w:val="notranslate"/>
          <w:rFonts w:ascii="Arial" w:hAnsi="Arial" w:cs="Arial"/>
          <w:color w:val="000000"/>
          <w:lang w:val="fr-CI"/>
        </w:rPr>
        <w:t xml:space="preserve">les </w:t>
      </w:r>
      <w:r w:rsidR="00C12503" w:rsidRPr="00403E9B">
        <w:rPr>
          <w:rStyle w:val="notranslate"/>
          <w:rFonts w:ascii="Arial" w:hAnsi="Arial" w:cs="Arial"/>
          <w:color w:val="000000"/>
          <w:lang w:val="fr-CI"/>
        </w:rPr>
        <w:t>homme</w:t>
      </w:r>
      <w:r w:rsidR="00C12503">
        <w:rPr>
          <w:rStyle w:val="notranslate"/>
          <w:rFonts w:ascii="Arial" w:hAnsi="Arial" w:cs="Arial"/>
          <w:color w:val="000000"/>
          <w:lang w:val="fr-CI"/>
        </w:rPr>
        <w:t xml:space="preserve">s et les </w:t>
      </w:r>
      <w:r w:rsidR="00C12503" w:rsidRPr="00403E9B">
        <w:rPr>
          <w:rStyle w:val="notranslate"/>
          <w:rFonts w:ascii="Arial" w:hAnsi="Arial" w:cs="Arial"/>
          <w:color w:val="000000"/>
          <w:lang w:val="fr-CI"/>
        </w:rPr>
        <w:t>femme</w:t>
      </w:r>
      <w:r w:rsidR="00C12503">
        <w:rPr>
          <w:rStyle w:val="notranslate"/>
          <w:rFonts w:ascii="Arial" w:hAnsi="Arial" w:cs="Arial"/>
          <w:color w:val="000000"/>
          <w:lang w:val="fr-CI"/>
        </w:rPr>
        <w:t>s</w:t>
      </w:r>
      <w:r w:rsidR="00C12503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et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à l</w:t>
      </w:r>
      <w:r w:rsidRPr="00403E9B">
        <w:rPr>
          <w:rStyle w:val="notranslate"/>
          <w:rFonts w:ascii="Arial" w:hAnsi="Arial" w:cs="Arial"/>
          <w:color w:val="000000"/>
          <w:lang w:val="fr-CI"/>
        </w:rPr>
        <w:t>’autonomisation des femmes (GEWE).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stratégie de communication permettra également de renforcer les relations avec les médias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afin d’accroître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la visibilité de l’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genda de l’UA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 xml:space="preserve">en matière de genre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dans les </w:t>
      </w:r>
      <w:r w:rsidR="006F181F" w:rsidRPr="00403E9B">
        <w:rPr>
          <w:rStyle w:val="notranslate"/>
          <w:rFonts w:ascii="Arial" w:hAnsi="Arial" w:cs="Arial"/>
          <w:color w:val="000000"/>
          <w:lang w:val="fr-CI"/>
        </w:rPr>
        <w:t>reportages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des médias continentaux, régionaux et nationaux.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000000"/>
          <w:lang w:val="fr-CI"/>
        </w:rPr>
        <w:t xml:space="preserve"> </w:t>
      </w:r>
    </w:p>
    <w:p w:rsidR="00604F10" w:rsidRPr="00403E9B" w:rsidRDefault="006F181F" w:rsidP="00CF1CFA">
      <w:pPr>
        <w:pStyle w:val="Prrafodelista"/>
        <w:numPr>
          <w:ilvl w:val="0"/>
          <w:numId w:val="13"/>
        </w:numPr>
        <w:ind w:left="851" w:hanging="567"/>
        <w:jc w:val="both"/>
        <w:rPr>
          <w:rFonts w:ascii="Arial" w:hAnsi="Arial"/>
          <w:b/>
          <w:lang w:val="fr-CI"/>
        </w:rPr>
      </w:pPr>
      <w:bookmarkStart w:id="0" w:name="_GoBack"/>
      <w:bookmarkEnd w:id="0"/>
      <w:r w:rsidRPr="00403E9B">
        <w:rPr>
          <w:rFonts w:ascii="Arial" w:hAnsi="Arial"/>
          <w:b/>
          <w:lang w:val="fr-CI"/>
        </w:rPr>
        <w:t xml:space="preserve">Rapports </w:t>
      </w:r>
      <w:r w:rsidR="00604F10" w:rsidRPr="00403E9B">
        <w:rPr>
          <w:rFonts w:ascii="Arial" w:hAnsi="Arial"/>
          <w:b/>
          <w:lang w:val="fr-CI"/>
        </w:rPr>
        <w:t xml:space="preserve">2016 </w:t>
      </w:r>
      <w:r w:rsidRPr="00403E9B">
        <w:rPr>
          <w:rFonts w:ascii="Arial" w:hAnsi="Arial"/>
          <w:b/>
          <w:lang w:val="fr-CI"/>
        </w:rPr>
        <w:t xml:space="preserve">des </w:t>
      </w:r>
      <w:r w:rsidR="00604F10" w:rsidRPr="00403E9B">
        <w:rPr>
          <w:rFonts w:ascii="Arial" w:hAnsi="Arial"/>
          <w:b/>
          <w:lang w:val="fr-CI"/>
        </w:rPr>
        <w:t xml:space="preserve">États membres </w:t>
      </w:r>
      <w:r w:rsidR="001E3045" w:rsidRPr="00403E9B">
        <w:rPr>
          <w:rFonts w:ascii="Arial" w:hAnsi="Arial"/>
          <w:b/>
          <w:lang w:val="fr-CI"/>
        </w:rPr>
        <w:t>et</w:t>
      </w:r>
      <w:r w:rsidR="00604F10" w:rsidRPr="00403E9B">
        <w:rPr>
          <w:rFonts w:ascii="Arial" w:hAnsi="Arial"/>
          <w:b/>
          <w:lang w:val="fr-CI"/>
        </w:rPr>
        <w:t xml:space="preserve"> </w:t>
      </w:r>
      <w:r w:rsidR="001E3045" w:rsidRPr="00403E9B">
        <w:rPr>
          <w:rFonts w:ascii="Arial" w:hAnsi="Arial"/>
          <w:b/>
          <w:lang w:val="fr-CI"/>
        </w:rPr>
        <w:t xml:space="preserve">Rapport </w:t>
      </w:r>
      <w:r w:rsidR="00604F10" w:rsidRPr="00403E9B">
        <w:rPr>
          <w:rFonts w:ascii="Arial" w:hAnsi="Arial"/>
          <w:b/>
          <w:lang w:val="fr-CI"/>
        </w:rPr>
        <w:t xml:space="preserve">du Président de la CUA sur la mise en œuvre de la Déclaration solennelle sur l’égalité </w:t>
      </w:r>
      <w:r w:rsidR="006478CD" w:rsidRPr="00403E9B">
        <w:rPr>
          <w:rFonts w:ascii="Arial" w:hAnsi="Arial"/>
          <w:b/>
          <w:lang w:val="fr-CI"/>
        </w:rPr>
        <w:t>homme-femme</w:t>
      </w:r>
      <w:r w:rsidR="00604F10" w:rsidRPr="00403E9B">
        <w:rPr>
          <w:rFonts w:ascii="Arial" w:hAnsi="Arial"/>
          <w:b/>
          <w:lang w:val="fr-CI"/>
        </w:rPr>
        <w:t xml:space="preserve"> en Afrique (SDGEA).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b/>
          <w:bCs/>
          <w:color w:val="000000"/>
          <w:lang w:val="fr-CI"/>
        </w:rPr>
        <w:t xml:space="preserve"> </w:t>
      </w:r>
    </w:p>
    <w:p w:rsidR="00604F10" w:rsidRPr="00403E9B" w:rsidRDefault="00604F10" w:rsidP="00E11BED">
      <w:pPr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>Les chefs d’État et de gouvernement de l’Union africaine (UA), lors de leur troisième session ordinaire en juillet 2004, ont adopté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="006478CD" w:rsidRPr="00403E9B">
        <w:rPr>
          <w:rFonts w:ascii="Arial" w:hAnsi="Arial" w:cs="Arial"/>
          <w:color w:val="000000"/>
          <w:lang w:val="fr-CI"/>
        </w:rPr>
        <w:t xml:space="preserve">la </w:t>
      </w:r>
      <w:r w:rsidRPr="00403E9B">
        <w:rPr>
          <w:rStyle w:val="notranslate"/>
          <w:rFonts w:ascii="Arial" w:hAnsi="Arial" w:cs="Arial"/>
          <w:i/>
          <w:iCs/>
          <w:color w:val="000000"/>
          <w:lang w:val="fr-CI"/>
        </w:rPr>
        <w:t>Déclaration solennelle sur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l’</w:t>
      </w:r>
      <w:r w:rsidRPr="00403E9B">
        <w:rPr>
          <w:rStyle w:val="notranslate"/>
          <w:rFonts w:ascii="Arial" w:hAnsi="Arial" w:cs="Arial"/>
          <w:i/>
          <w:iCs/>
          <w:color w:val="000000"/>
          <w:lang w:val="fr-CI"/>
        </w:rPr>
        <w:t xml:space="preserve">égalité </w:t>
      </w:r>
      <w:r w:rsidR="00750826">
        <w:rPr>
          <w:rStyle w:val="notranslate"/>
          <w:rFonts w:ascii="Arial" w:hAnsi="Arial" w:cs="Arial"/>
          <w:color w:val="000000"/>
          <w:lang w:val="fr-CI"/>
        </w:rPr>
        <w:t xml:space="preserve">entre </w:t>
      </w:r>
      <w:r w:rsidR="005854A4">
        <w:rPr>
          <w:rStyle w:val="notranslate"/>
          <w:rFonts w:ascii="Arial" w:hAnsi="Arial" w:cs="Arial"/>
          <w:color w:val="000000"/>
          <w:lang w:val="fr-CI"/>
        </w:rPr>
        <w:t xml:space="preserve">les 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>homme</w:t>
      </w:r>
      <w:r w:rsidR="00750826">
        <w:rPr>
          <w:rStyle w:val="notranslate"/>
          <w:rFonts w:ascii="Arial" w:hAnsi="Arial" w:cs="Arial"/>
          <w:color w:val="000000"/>
          <w:lang w:val="fr-CI"/>
        </w:rPr>
        <w:t xml:space="preserve">s et les 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>femme</w:t>
      </w:r>
      <w:r w:rsidR="00750826">
        <w:rPr>
          <w:rStyle w:val="notranslate"/>
          <w:rFonts w:ascii="Arial" w:hAnsi="Arial" w:cs="Arial"/>
          <w:color w:val="000000"/>
          <w:lang w:val="fr-CI"/>
        </w:rPr>
        <w:t>s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i/>
          <w:iCs/>
          <w:color w:val="000000"/>
          <w:lang w:val="fr-CI"/>
        </w:rPr>
        <w:t>en Afrique (SDGEA).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Déclaration est un instrument africain important pour la promotion de l’égalité </w:t>
      </w:r>
      <w:r w:rsidR="00750826">
        <w:rPr>
          <w:rStyle w:val="notranslate"/>
          <w:rFonts w:ascii="Arial" w:hAnsi="Arial" w:cs="Arial"/>
          <w:color w:val="000000"/>
          <w:lang w:val="fr-CI"/>
        </w:rPr>
        <w:t xml:space="preserve">entre </w:t>
      </w:r>
      <w:r w:rsidR="005854A4">
        <w:rPr>
          <w:rStyle w:val="notranslate"/>
          <w:rFonts w:ascii="Arial" w:hAnsi="Arial" w:cs="Arial"/>
          <w:color w:val="000000"/>
          <w:lang w:val="fr-CI"/>
        </w:rPr>
        <w:t xml:space="preserve">les 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>homme</w:t>
      </w:r>
      <w:r w:rsidR="00750826">
        <w:rPr>
          <w:rStyle w:val="notranslate"/>
          <w:rFonts w:ascii="Arial" w:hAnsi="Arial" w:cs="Arial"/>
          <w:color w:val="000000"/>
          <w:lang w:val="fr-CI"/>
        </w:rPr>
        <w:t xml:space="preserve">s et les 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>femme</w:t>
      </w:r>
      <w:r w:rsidR="00750826">
        <w:rPr>
          <w:rStyle w:val="notranslate"/>
          <w:rFonts w:ascii="Arial" w:hAnsi="Arial" w:cs="Arial"/>
          <w:color w:val="000000"/>
          <w:lang w:val="fr-CI"/>
        </w:rPr>
        <w:t>s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et de l’autonomisation des femmes, car elle renforce l’appropriation 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>de l’agenda sur l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’égalité 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 xml:space="preserve">homme-femme </w:t>
      </w:r>
      <w:r w:rsidRPr="00403E9B">
        <w:rPr>
          <w:rStyle w:val="notranslate"/>
          <w:rFonts w:ascii="Arial" w:hAnsi="Arial" w:cs="Arial"/>
          <w:color w:val="000000"/>
          <w:lang w:val="fr-CI"/>
        </w:rPr>
        <w:t>et maintient les questions au plus haut niveau politique en Afrique.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="001E3045" w:rsidRPr="00403E9B">
        <w:rPr>
          <w:rFonts w:ascii="Arial" w:hAnsi="Arial" w:cs="Arial"/>
          <w:color w:val="000000"/>
          <w:lang w:val="fr-CI"/>
        </w:rPr>
        <w:t>Aussi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 xml:space="preserve"> constitue</w:t>
      </w:r>
      <w:r w:rsidR="001E3045" w:rsidRPr="00403E9B">
        <w:rPr>
          <w:rStyle w:val="notranslate"/>
          <w:rFonts w:ascii="Arial" w:hAnsi="Arial" w:cs="Arial"/>
          <w:color w:val="000000"/>
          <w:lang w:val="fr-CI"/>
        </w:rPr>
        <w:t>-t-elle,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1E3045" w:rsidRPr="00403E9B">
        <w:rPr>
          <w:rStyle w:val="notranslate"/>
          <w:rFonts w:ascii="Arial" w:hAnsi="Arial" w:cs="Arial"/>
          <w:color w:val="000000"/>
          <w:lang w:val="fr-CI"/>
        </w:rPr>
        <w:t xml:space="preserve">pour les États membres, 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>un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cadre d’établissement de rapports sur l’égalité 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 xml:space="preserve">homme-femme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et l’autonomisation des femmes 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>(GEWE)</w:t>
      </w:r>
      <w:r w:rsidR="001E3045" w:rsidRPr="00403E9B">
        <w:rPr>
          <w:rStyle w:val="notranslate"/>
          <w:rFonts w:ascii="Arial" w:hAnsi="Arial" w:cs="Arial"/>
          <w:color w:val="000000"/>
          <w:lang w:val="fr-CI"/>
        </w:rPr>
        <w:t>.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ind w:right="360"/>
        <w:jc w:val="both"/>
        <w:rPr>
          <w:rFonts w:ascii="Arial" w:hAnsi="Arial" w:cs="Arial"/>
          <w:color w:val="000000"/>
          <w:lang w:val="fr-CI"/>
        </w:rPr>
      </w:pPr>
    </w:p>
    <w:p w:rsidR="00604F10" w:rsidRPr="00403E9B" w:rsidRDefault="00604F10" w:rsidP="00E11BED">
      <w:pPr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>L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>a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SDGEA 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>comporte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six (6) domaines 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>thématiques d’intervention</w:t>
      </w:r>
      <w:r w:rsidRPr="00403E9B">
        <w:rPr>
          <w:rStyle w:val="notranslate"/>
          <w:rFonts w:ascii="Arial" w:hAnsi="Arial" w:cs="Arial"/>
          <w:color w:val="000000"/>
          <w:lang w:val="fr-CI"/>
        </w:rPr>
        <w:t>, à savoir</w:t>
      </w:r>
      <w:r w:rsidR="006478CD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: la santé, la paix et la sécurité, la gouvernance, 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 xml:space="preserve">les </w:t>
      </w:r>
      <w:r w:rsidRPr="00403E9B">
        <w:rPr>
          <w:rStyle w:val="notranslate"/>
          <w:rFonts w:ascii="Arial" w:hAnsi="Arial" w:cs="Arial"/>
          <w:color w:val="000000"/>
          <w:lang w:val="fr-CI"/>
        </w:rPr>
        <w:t>droits de l’homme, l’éducation et l’autonomisation des femmes.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ind w:right="36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FF0000"/>
          <w:lang w:val="fr-CI"/>
        </w:rPr>
        <w:t xml:space="preserve"> </w:t>
      </w:r>
    </w:p>
    <w:p w:rsidR="00604F10" w:rsidRPr="00403E9B" w:rsidRDefault="00604F10" w:rsidP="00E11BED">
      <w:pPr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SDGEA 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comporte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deux obligations 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en matière de rapport,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>à savoir le paragraphe 12 dans lequel les chefs d’État et de gouvernement se sont engagés à faire rapport chaque année sur leurs progrès en matière d’intégration de la dimension genre.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Ce paragraphe 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permet aux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États membres 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de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partager les bonnes pratiques et </w:t>
      </w:r>
      <w:r w:rsidR="001E3045" w:rsidRPr="00403E9B">
        <w:rPr>
          <w:rStyle w:val="notranslate"/>
          <w:rFonts w:ascii="Arial" w:hAnsi="Arial" w:cs="Arial"/>
          <w:color w:val="000000"/>
          <w:lang w:val="fr-CI"/>
        </w:rPr>
        <w:t>d’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identifier les domaines 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qui doivent être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amélior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és afin de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renforcer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le statut des femmes.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Le rapport 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tient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également 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lieu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d’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évaluation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par les pairs.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deuxième obligation </w:t>
      </w:r>
      <w:r w:rsidR="00E54EBF" w:rsidRPr="00403E9B">
        <w:rPr>
          <w:rStyle w:val="notranslate"/>
          <w:rFonts w:ascii="Arial" w:hAnsi="Arial" w:cs="Arial"/>
          <w:color w:val="000000"/>
          <w:lang w:val="fr-CI"/>
        </w:rPr>
        <w:t>se situe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au paragraphe 13, dans lequel le président de la Commission est tenu de soumettre un rapport annuel </w:t>
      </w:r>
      <w:r w:rsidR="00AA2337" w:rsidRPr="00403E9B">
        <w:rPr>
          <w:rStyle w:val="notranslate"/>
          <w:rFonts w:ascii="Arial" w:hAnsi="Arial" w:cs="Arial"/>
          <w:color w:val="000000"/>
          <w:lang w:val="fr-CI"/>
        </w:rPr>
        <w:lastRenderedPageBreak/>
        <w:t>sur les mesures prises pour appliquer le principe de l’égalité homme-femme et de l’intégration de la dimension genre, aux chefs d’État et de gouvernement pour examen</w:t>
      </w:r>
      <w:r w:rsidRPr="00403E9B">
        <w:rPr>
          <w:rStyle w:val="notranslate"/>
          <w:rFonts w:ascii="Arial" w:hAnsi="Arial" w:cs="Arial"/>
          <w:color w:val="000000"/>
          <w:lang w:val="fr-CI"/>
        </w:rPr>
        <w:t>.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ind w:right="36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000000"/>
          <w:lang w:val="fr-CI"/>
        </w:rPr>
        <w:t xml:space="preserve"> </w:t>
      </w:r>
    </w:p>
    <w:p w:rsidR="00604F10" w:rsidRPr="00403E9B" w:rsidRDefault="00604F10" w:rsidP="00E11BED">
      <w:pPr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Dans l’ensemble, 51 États membres ont présenté leurs rapports nationaux à la Commission de l’UA, </w:t>
      </w:r>
      <w:r w:rsidR="00AA2337" w:rsidRPr="00403E9B">
        <w:rPr>
          <w:rStyle w:val="notranslate"/>
          <w:rFonts w:ascii="Arial" w:hAnsi="Arial" w:cs="Arial"/>
          <w:color w:val="000000"/>
          <w:lang w:val="fr-CI"/>
        </w:rPr>
        <w:t>et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6 pays n</w:t>
      </w:r>
      <w:r w:rsidR="00AA2337" w:rsidRPr="00403E9B">
        <w:rPr>
          <w:rStyle w:val="notranslate"/>
          <w:rFonts w:ascii="Arial" w:hAnsi="Arial" w:cs="Arial"/>
          <w:color w:val="000000"/>
          <w:lang w:val="fr-CI"/>
        </w:rPr>
        <w:t>’</w:t>
      </w:r>
      <w:r w:rsidRPr="00403E9B">
        <w:rPr>
          <w:rStyle w:val="notranslate"/>
          <w:rFonts w:ascii="Arial" w:hAnsi="Arial" w:cs="Arial"/>
          <w:color w:val="000000"/>
          <w:lang w:val="fr-CI"/>
        </w:rPr>
        <w:t>ont pas encore soum</w:t>
      </w:r>
      <w:r w:rsidR="00AA2337" w:rsidRPr="00403E9B">
        <w:rPr>
          <w:rStyle w:val="notranslate"/>
          <w:rFonts w:ascii="Arial" w:hAnsi="Arial" w:cs="Arial"/>
          <w:color w:val="000000"/>
          <w:lang w:val="fr-CI"/>
        </w:rPr>
        <w:t>is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leurs rapports initiaux pour </w:t>
      </w:r>
      <w:r w:rsidR="00AA2337" w:rsidRPr="00403E9B">
        <w:rPr>
          <w:rStyle w:val="notranslate"/>
          <w:rFonts w:ascii="Arial" w:hAnsi="Arial" w:cs="Arial"/>
          <w:color w:val="000000"/>
          <w:lang w:val="fr-CI"/>
        </w:rPr>
        <w:t>examen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, comme indiqué dans </w:t>
      </w:r>
      <w:r w:rsidR="00AA2337" w:rsidRPr="00403E9B">
        <w:rPr>
          <w:rStyle w:val="notranslate"/>
          <w:rFonts w:ascii="Arial" w:hAnsi="Arial" w:cs="Arial"/>
          <w:color w:val="000000"/>
          <w:lang w:val="fr-CI"/>
        </w:rPr>
        <w:t>le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AA2337" w:rsidRPr="00403E9B">
        <w:rPr>
          <w:rStyle w:val="notranslate"/>
          <w:rFonts w:ascii="Arial" w:hAnsi="Arial" w:cs="Arial"/>
          <w:color w:val="000000"/>
          <w:lang w:val="fr-CI"/>
        </w:rPr>
        <w:t>tableau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ci-dessous</w:t>
      </w:r>
      <w:r w:rsidR="00AA2337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>: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000000"/>
          <w:lang w:val="fr-C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50"/>
      </w:tblGrid>
      <w:tr w:rsidR="00604F10" w:rsidRPr="00CF1CFA" w:rsidTr="00604F10">
        <w:trPr>
          <w:jc w:val="center"/>
        </w:trPr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10" w:rsidRPr="00E11BED" w:rsidRDefault="00604F10" w:rsidP="00E11BE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lang w:val="fr-CI"/>
              </w:rPr>
            </w:pPr>
            <w:r w:rsidRPr="00E11BED">
              <w:rPr>
                <w:rStyle w:val="notranslate"/>
                <w:rFonts w:ascii="Arial" w:hAnsi="Arial" w:cs="Arial"/>
                <w:b/>
                <w:bCs/>
                <w:sz w:val="22"/>
                <w:lang w:val="fr-CI"/>
              </w:rPr>
              <w:t xml:space="preserve">Pays </w:t>
            </w:r>
            <w:r w:rsidR="00AA2337" w:rsidRPr="00E11BED">
              <w:rPr>
                <w:rStyle w:val="notranslate"/>
                <w:rFonts w:ascii="Arial" w:hAnsi="Arial" w:cs="Arial"/>
                <w:b/>
                <w:bCs/>
                <w:sz w:val="22"/>
                <w:lang w:val="fr-CI"/>
              </w:rPr>
              <w:t>ayant</w:t>
            </w:r>
            <w:r w:rsidRPr="00E11BED">
              <w:rPr>
                <w:rStyle w:val="notranslate"/>
                <w:rFonts w:ascii="Arial" w:hAnsi="Arial" w:cs="Arial"/>
                <w:b/>
                <w:bCs/>
                <w:sz w:val="22"/>
                <w:lang w:val="fr-CI"/>
              </w:rPr>
              <w:t xml:space="preserve"> </w:t>
            </w:r>
            <w:r w:rsidR="00AA2337" w:rsidRPr="00E11BED">
              <w:rPr>
                <w:rStyle w:val="notranslate"/>
                <w:rFonts w:ascii="Arial" w:hAnsi="Arial" w:cs="Arial"/>
                <w:b/>
                <w:bCs/>
                <w:sz w:val="22"/>
                <w:lang w:val="fr-CI"/>
              </w:rPr>
              <w:t>fait rapport à ce jour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10" w:rsidRPr="00E11BED" w:rsidRDefault="00604F10" w:rsidP="00E11BE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lang w:val="fr-CI"/>
              </w:rPr>
            </w:pPr>
            <w:r w:rsidRPr="00E11BED">
              <w:rPr>
                <w:rStyle w:val="notranslate"/>
                <w:rFonts w:ascii="Arial" w:hAnsi="Arial" w:cs="Arial"/>
                <w:b/>
                <w:bCs/>
                <w:sz w:val="22"/>
                <w:lang w:val="fr-CI"/>
              </w:rPr>
              <w:t xml:space="preserve">Pays </w:t>
            </w:r>
            <w:r w:rsidR="00AA2337" w:rsidRPr="00E11BED">
              <w:rPr>
                <w:rStyle w:val="notranslate"/>
                <w:rFonts w:ascii="Arial" w:hAnsi="Arial" w:cs="Arial"/>
                <w:b/>
                <w:bCs/>
                <w:sz w:val="22"/>
                <w:lang w:val="fr-CI"/>
              </w:rPr>
              <w:t>n’ayant pas fait rapport</w:t>
            </w:r>
          </w:p>
        </w:tc>
      </w:tr>
      <w:tr w:rsidR="00604F10" w:rsidRPr="00CF1CFA" w:rsidTr="00604F10">
        <w:trPr>
          <w:jc w:val="center"/>
        </w:trPr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10" w:rsidRPr="00E11BED" w:rsidRDefault="00604F10" w:rsidP="00E11BE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lang w:val="fr-CI"/>
              </w:rPr>
            </w:pPr>
            <w:r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Algérie, Angola, Bénin, Botswana, Burkina Faso, Burundi, Cameroun, Comores, Tchad, Congo, Côte d’Ivoire, République démocratique du Congo, Djibouti,</w:t>
            </w:r>
            <w:r w:rsidR="00AA2337"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 xml:space="preserve"> Égypte</w:t>
            </w:r>
            <w:r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 xml:space="preserve">, Guinée équatoriale, </w:t>
            </w:r>
            <w:r w:rsidR="00AA2337"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Érythrée</w:t>
            </w:r>
            <w:r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 xml:space="preserve">, </w:t>
            </w:r>
            <w:r w:rsidR="00AA2337"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Éthiopie</w:t>
            </w:r>
            <w:r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,</w:t>
            </w:r>
            <w:r w:rsidR="00AA2337"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 xml:space="preserve"> </w:t>
            </w:r>
            <w:r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 xml:space="preserve">Gabon, Gambie, Ghana, Guinée, Kenya, Lesotho, Libéria, Libye, Madagascar, Mali, Malawi, Mauritanie, Maurice, Mozambique, Namibie, Niger, Nigeria, Rwanda, République arabe sahraouie </w:t>
            </w:r>
            <w:r w:rsidR="001E3045"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d</w:t>
            </w:r>
            <w:r w:rsidR="00AA2337"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é</w:t>
            </w:r>
            <w:r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m</w:t>
            </w:r>
            <w:r w:rsidR="001E3045"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o</w:t>
            </w:r>
            <w:r w:rsidR="00AA2337"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.</w:t>
            </w:r>
            <w:r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, Sao Tomé-et-Principe, Sénégal, Seychelles, Sierra Leone, Soudan, Somalie,</w:t>
            </w:r>
            <w:r w:rsidR="004A1E74"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 xml:space="preserve"> </w:t>
            </w:r>
            <w:r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Soudan du Sud, Afrique du Sud, Swaziland, Tanzanie, Togo, Tunisie, Ouganda, Zambie et Zimbabwe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10" w:rsidRPr="00E11BED" w:rsidRDefault="00604F10" w:rsidP="00E11BE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lang w:val="fr-CI"/>
              </w:rPr>
            </w:pPr>
            <w:r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 xml:space="preserve">Cap-Vert, République </w:t>
            </w:r>
            <w:r w:rsidR="004A1E74"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c</w:t>
            </w:r>
            <w:r w:rsidRPr="00E11BED">
              <w:rPr>
                <w:rStyle w:val="notranslate"/>
                <w:rFonts w:ascii="Arial" w:hAnsi="Arial" w:cs="Arial"/>
                <w:sz w:val="22"/>
                <w:lang w:val="fr-CI"/>
              </w:rPr>
              <w:t>entrafricaine, Guinée Bissau et Maroc</w:t>
            </w:r>
          </w:p>
        </w:tc>
      </w:tr>
      <w:tr w:rsidR="00604F10" w:rsidRPr="00E11BED" w:rsidTr="00604F10">
        <w:trPr>
          <w:jc w:val="center"/>
        </w:trPr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10" w:rsidRPr="00E11BED" w:rsidRDefault="00604F10" w:rsidP="00E11BE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lang w:val="fr-CI"/>
              </w:rPr>
            </w:pPr>
            <w:r w:rsidRPr="00E11BED">
              <w:rPr>
                <w:rStyle w:val="notranslate"/>
                <w:rFonts w:ascii="Arial" w:hAnsi="Arial" w:cs="Arial"/>
                <w:b/>
                <w:bCs/>
                <w:sz w:val="22"/>
                <w:lang w:val="fr-CI"/>
              </w:rPr>
              <w:t>51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10" w:rsidRPr="00E11BED" w:rsidRDefault="00604F10" w:rsidP="00E11BE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lang w:val="fr-CI"/>
              </w:rPr>
            </w:pPr>
            <w:r w:rsidRPr="00E11BED">
              <w:rPr>
                <w:rStyle w:val="notranslate"/>
                <w:rFonts w:ascii="Arial" w:hAnsi="Arial" w:cs="Arial"/>
                <w:b/>
                <w:bCs/>
                <w:sz w:val="22"/>
                <w:lang w:val="fr-CI"/>
              </w:rPr>
              <w:t>4</w:t>
            </w:r>
          </w:p>
        </w:tc>
      </w:tr>
    </w:tbl>
    <w:p w:rsidR="00E11BED" w:rsidRDefault="00E11BED" w:rsidP="00E11BED">
      <w:pPr>
        <w:pStyle w:val="NormalWeb"/>
        <w:spacing w:before="0" w:beforeAutospacing="0" w:after="0" w:afterAutospacing="0"/>
        <w:ind w:left="709"/>
        <w:jc w:val="both"/>
        <w:rPr>
          <w:b/>
          <w:bCs/>
        </w:rPr>
      </w:pPr>
    </w:p>
    <w:p w:rsidR="00E11BED" w:rsidRPr="00E11BED" w:rsidRDefault="00E11BED" w:rsidP="00E11BED">
      <w:pPr>
        <w:pStyle w:val="NormalWeb"/>
        <w:spacing w:before="0" w:beforeAutospacing="0" w:after="0" w:afterAutospacing="0"/>
        <w:ind w:left="709"/>
        <w:jc w:val="both"/>
        <w:rPr>
          <w:b/>
          <w:bCs/>
        </w:rPr>
      </w:pPr>
    </w:p>
    <w:p w:rsidR="00604F10" w:rsidRPr="00E11BED" w:rsidRDefault="00604F10" w:rsidP="00E11BED">
      <w:pPr>
        <w:pStyle w:val="NormalWeb"/>
        <w:numPr>
          <w:ilvl w:val="0"/>
          <w:numId w:val="18"/>
        </w:numPr>
        <w:spacing w:before="0" w:beforeAutospacing="0" w:after="0" w:afterAutospacing="0"/>
        <w:ind w:left="709" w:hanging="709"/>
        <w:jc w:val="both"/>
        <w:rPr>
          <w:rStyle w:val="notranslate"/>
          <w:b/>
          <w:bCs/>
        </w:rPr>
      </w:pPr>
      <w:r w:rsidRPr="00403E9B">
        <w:rPr>
          <w:rStyle w:val="notranslate"/>
          <w:rFonts w:ascii="Arial" w:hAnsi="Arial" w:cs="Arial"/>
          <w:b/>
          <w:bCs/>
          <w:color w:val="000000"/>
          <w:lang w:val="fr-CI"/>
        </w:rPr>
        <w:t xml:space="preserve">Objectif </w:t>
      </w:r>
      <w:r w:rsidR="004A1E74" w:rsidRPr="00403E9B">
        <w:rPr>
          <w:rStyle w:val="notranslate"/>
          <w:rFonts w:ascii="Arial" w:hAnsi="Arial" w:cs="Arial"/>
          <w:b/>
          <w:bCs/>
          <w:color w:val="000000"/>
          <w:lang w:val="fr-CI"/>
        </w:rPr>
        <w:t>du</w:t>
      </w:r>
      <w:r w:rsidRPr="00403E9B">
        <w:rPr>
          <w:rStyle w:val="notranslate"/>
          <w:rFonts w:ascii="Arial" w:hAnsi="Arial" w:cs="Arial"/>
          <w:b/>
          <w:bCs/>
          <w:color w:val="000000"/>
          <w:lang w:val="fr-CI"/>
        </w:rPr>
        <w:t xml:space="preserve"> </w:t>
      </w:r>
      <w:r w:rsidR="00C24313" w:rsidRPr="00403E9B">
        <w:rPr>
          <w:rStyle w:val="notranslate"/>
          <w:rFonts w:ascii="Arial" w:hAnsi="Arial" w:cs="Arial"/>
          <w:b/>
          <w:bCs/>
          <w:color w:val="000000"/>
          <w:lang w:val="fr-CI"/>
        </w:rPr>
        <w:t>CTS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b/>
          <w:bCs/>
          <w:color w:val="000000"/>
          <w:lang w:val="fr-CI"/>
        </w:rPr>
        <w:t xml:space="preserve"> 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>Les principaux objectifs du 2</w:t>
      </w:r>
      <w:r w:rsidRPr="00403E9B">
        <w:rPr>
          <w:rStyle w:val="notranslate"/>
          <w:rFonts w:ascii="Arial" w:hAnsi="Arial" w:cs="Arial"/>
          <w:color w:val="000000"/>
          <w:vertAlign w:val="superscript"/>
          <w:lang w:val="fr-CI"/>
        </w:rPr>
        <w:t>e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4A1E74" w:rsidRPr="00403E9B">
        <w:rPr>
          <w:rStyle w:val="notranslate"/>
          <w:rFonts w:ascii="Arial" w:hAnsi="Arial" w:cs="Arial"/>
          <w:color w:val="000000"/>
          <w:lang w:val="fr-CI"/>
        </w:rPr>
        <w:t>CTS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sont les suivants</w:t>
      </w:r>
      <w:r w:rsidR="004A1E74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>:</w:t>
      </w:r>
    </w:p>
    <w:p w:rsidR="00E11BED" w:rsidRDefault="00E11BED" w:rsidP="00E11BED">
      <w:pPr>
        <w:pStyle w:val="Prrafodelista"/>
        <w:jc w:val="both"/>
        <w:rPr>
          <w:rFonts w:ascii="Arial" w:hAnsi="Arial" w:cs="Arial"/>
          <w:color w:val="000000" w:themeColor="text1"/>
          <w:lang w:val="fr-CI"/>
        </w:rPr>
      </w:pPr>
    </w:p>
    <w:p w:rsidR="00604F10" w:rsidRPr="00403E9B" w:rsidRDefault="00E11BED" w:rsidP="00E11BED">
      <w:pPr>
        <w:pStyle w:val="Prrafodelista"/>
        <w:numPr>
          <w:ilvl w:val="0"/>
          <w:numId w:val="11"/>
        </w:numPr>
        <w:ind w:left="1276" w:hanging="567"/>
        <w:jc w:val="both"/>
        <w:rPr>
          <w:rFonts w:ascii="Arial" w:hAnsi="Arial" w:cs="Arial"/>
          <w:color w:val="000000" w:themeColor="text1"/>
          <w:lang w:val="fr-CI"/>
        </w:rPr>
      </w:pPr>
      <w:r>
        <w:rPr>
          <w:rFonts w:ascii="Arial" w:hAnsi="Arial" w:cs="Arial"/>
          <w:color w:val="000000" w:themeColor="text1"/>
          <w:lang w:val="fr-CI"/>
        </w:rPr>
        <w:t>e</w:t>
      </w:r>
      <w:r w:rsidR="004A1E74" w:rsidRPr="00403E9B">
        <w:rPr>
          <w:rFonts w:ascii="Arial" w:hAnsi="Arial" w:cs="Arial"/>
          <w:color w:val="000000" w:themeColor="text1"/>
          <w:lang w:val="fr-CI"/>
        </w:rPr>
        <w:t>xaminer</w:t>
      </w:r>
      <w:r w:rsidR="00604F10" w:rsidRPr="00403E9B">
        <w:rPr>
          <w:rFonts w:ascii="Arial" w:hAnsi="Arial" w:cs="Arial"/>
          <w:color w:val="000000" w:themeColor="text1"/>
          <w:lang w:val="fr-CI"/>
        </w:rPr>
        <w:t xml:space="preserve"> la </w:t>
      </w:r>
      <w:r w:rsidR="004A1E74" w:rsidRPr="00403E9B">
        <w:rPr>
          <w:rFonts w:ascii="Arial" w:hAnsi="Arial" w:cs="Arial"/>
          <w:color w:val="000000" w:themeColor="text1"/>
          <w:lang w:val="fr-CI"/>
        </w:rPr>
        <w:t xml:space="preserve">Nouvelle </w:t>
      </w:r>
      <w:r w:rsidR="00604F10" w:rsidRPr="00403E9B">
        <w:rPr>
          <w:rFonts w:ascii="Arial" w:hAnsi="Arial" w:cs="Arial"/>
          <w:color w:val="000000" w:themeColor="text1"/>
          <w:lang w:val="fr-CI"/>
        </w:rPr>
        <w:t xml:space="preserve">stratégie de </w:t>
      </w:r>
      <w:r w:rsidR="004A1E74" w:rsidRPr="00403E9B">
        <w:rPr>
          <w:rFonts w:ascii="Arial" w:hAnsi="Arial" w:cs="Arial"/>
          <w:color w:val="000000" w:themeColor="text1"/>
          <w:lang w:val="fr-CI"/>
        </w:rPr>
        <w:t>l’UA en matière de genre ;</w:t>
      </w:r>
    </w:p>
    <w:p w:rsidR="00E11BED" w:rsidRDefault="00E11BED" w:rsidP="00E11BED">
      <w:pPr>
        <w:pStyle w:val="Prrafodelista"/>
        <w:ind w:left="1276"/>
        <w:jc w:val="both"/>
        <w:rPr>
          <w:rFonts w:ascii="Arial" w:hAnsi="Arial" w:cs="Arial"/>
          <w:color w:val="000000" w:themeColor="text1"/>
          <w:lang w:val="fr-CI"/>
        </w:rPr>
      </w:pPr>
    </w:p>
    <w:p w:rsidR="00604F10" w:rsidRPr="00403E9B" w:rsidRDefault="00E11BED" w:rsidP="00E11BED">
      <w:pPr>
        <w:pStyle w:val="Prrafodelista"/>
        <w:numPr>
          <w:ilvl w:val="0"/>
          <w:numId w:val="11"/>
        </w:numPr>
        <w:ind w:left="1276" w:hanging="567"/>
        <w:jc w:val="both"/>
        <w:rPr>
          <w:rFonts w:ascii="Arial" w:hAnsi="Arial" w:cs="Arial"/>
          <w:color w:val="000000" w:themeColor="text1"/>
          <w:lang w:val="fr-CI"/>
        </w:rPr>
      </w:pPr>
      <w:r>
        <w:rPr>
          <w:rFonts w:ascii="Arial" w:hAnsi="Arial" w:cs="Arial"/>
          <w:color w:val="000000" w:themeColor="text1"/>
          <w:lang w:val="fr-CI"/>
        </w:rPr>
        <w:t>e</w:t>
      </w:r>
      <w:r w:rsidR="004A1E74" w:rsidRPr="00403E9B">
        <w:rPr>
          <w:rFonts w:ascii="Arial" w:hAnsi="Arial" w:cs="Arial"/>
          <w:color w:val="000000" w:themeColor="text1"/>
          <w:lang w:val="fr-CI"/>
        </w:rPr>
        <w:t xml:space="preserve">xaminer </w:t>
      </w:r>
      <w:r w:rsidR="00604F10" w:rsidRPr="00403E9B">
        <w:rPr>
          <w:rFonts w:ascii="Arial" w:hAnsi="Arial" w:cs="Arial"/>
          <w:color w:val="000000" w:themeColor="text1"/>
          <w:lang w:val="fr-CI"/>
        </w:rPr>
        <w:t xml:space="preserve">le </w:t>
      </w:r>
      <w:r w:rsidR="001E3045" w:rsidRPr="00403E9B">
        <w:rPr>
          <w:rFonts w:ascii="Arial" w:hAnsi="Arial" w:cs="Arial"/>
          <w:color w:val="000000" w:themeColor="text1"/>
          <w:lang w:val="fr-CI"/>
        </w:rPr>
        <w:t xml:space="preserve">Rapport </w:t>
      </w:r>
      <w:r w:rsidR="004A1E74" w:rsidRPr="00403E9B">
        <w:rPr>
          <w:rFonts w:ascii="Arial" w:hAnsi="Arial" w:cs="Arial"/>
          <w:color w:val="000000" w:themeColor="text1"/>
          <w:lang w:val="fr-CI"/>
        </w:rPr>
        <w:t>sur</w:t>
      </w:r>
      <w:r w:rsidR="00604F10" w:rsidRPr="00403E9B">
        <w:rPr>
          <w:rFonts w:ascii="Arial" w:hAnsi="Arial" w:cs="Arial"/>
          <w:color w:val="000000" w:themeColor="text1"/>
          <w:lang w:val="fr-CI"/>
        </w:rPr>
        <w:t xml:space="preserve"> l’évaluation de la politique </w:t>
      </w:r>
      <w:r w:rsidR="004A1E74" w:rsidRPr="00403E9B">
        <w:rPr>
          <w:rFonts w:ascii="Arial" w:hAnsi="Arial" w:cs="Arial"/>
          <w:color w:val="000000" w:themeColor="text1"/>
          <w:lang w:val="fr-CI"/>
        </w:rPr>
        <w:t xml:space="preserve">2009 en matière de </w:t>
      </w:r>
      <w:r w:rsidR="00604F10" w:rsidRPr="00403E9B">
        <w:rPr>
          <w:rFonts w:ascii="Arial" w:hAnsi="Arial" w:cs="Arial"/>
          <w:color w:val="000000" w:themeColor="text1"/>
          <w:lang w:val="fr-CI"/>
        </w:rPr>
        <w:t>genre</w:t>
      </w:r>
      <w:r w:rsidR="004A1E74" w:rsidRPr="00403E9B">
        <w:rPr>
          <w:rFonts w:ascii="Arial" w:hAnsi="Arial" w:cs="Arial"/>
          <w:color w:val="000000" w:themeColor="text1"/>
          <w:lang w:val="fr-CI"/>
        </w:rPr>
        <w:t> ;</w:t>
      </w:r>
    </w:p>
    <w:p w:rsidR="00E11BED" w:rsidRDefault="00E11BED" w:rsidP="00E11BED">
      <w:pPr>
        <w:pStyle w:val="Prrafodelista"/>
        <w:ind w:left="1276"/>
        <w:jc w:val="both"/>
        <w:rPr>
          <w:rFonts w:ascii="Arial" w:hAnsi="Arial" w:cs="Arial"/>
          <w:color w:val="000000" w:themeColor="text1"/>
          <w:lang w:val="fr-CI"/>
        </w:rPr>
      </w:pPr>
    </w:p>
    <w:p w:rsidR="00604F10" w:rsidRPr="00403E9B" w:rsidRDefault="00E11BED" w:rsidP="00E11BED">
      <w:pPr>
        <w:pStyle w:val="Prrafodelista"/>
        <w:numPr>
          <w:ilvl w:val="0"/>
          <w:numId w:val="11"/>
        </w:numPr>
        <w:ind w:left="1276" w:hanging="567"/>
        <w:jc w:val="both"/>
        <w:rPr>
          <w:rFonts w:ascii="Arial" w:hAnsi="Arial" w:cs="Arial"/>
          <w:color w:val="000000" w:themeColor="text1"/>
          <w:lang w:val="fr-CI"/>
        </w:rPr>
      </w:pPr>
      <w:r>
        <w:rPr>
          <w:rFonts w:ascii="Arial" w:hAnsi="Arial" w:cs="Arial"/>
          <w:color w:val="000000" w:themeColor="text1"/>
          <w:lang w:val="fr-CI"/>
        </w:rPr>
        <w:t>e</w:t>
      </w:r>
      <w:r w:rsidR="004A1E74" w:rsidRPr="00403E9B">
        <w:rPr>
          <w:rFonts w:ascii="Arial" w:hAnsi="Arial" w:cs="Arial"/>
          <w:color w:val="000000" w:themeColor="text1"/>
          <w:lang w:val="fr-CI"/>
        </w:rPr>
        <w:t>xaminer</w:t>
      </w:r>
      <w:r w:rsidR="00604F10" w:rsidRPr="00403E9B">
        <w:rPr>
          <w:rFonts w:ascii="Arial" w:hAnsi="Arial" w:cs="Arial"/>
          <w:color w:val="000000" w:themeColor="text1"/>
          <w:lang w:val="fr-CI"/>
        </w:rPr>
        <w:t xml:space="preserve"> la </w:t>
      </w:r>
      <w:r w:rsidR="004A1E74" w:rsidRPr="00403E9B">
        <w:rPr>
          <w:rFonts w:ascii="Arial" w:hAnsi="Arial" w:cs="Arial"/>
          <w:color w:val="000000" w:themeColor="text1"/>
          <w:lang w:val="fr-CI"/>
        </w:rPr>
        <w:t xml:space="preserve">Nouvelle </w:t>
      </w:r>
      <w:r w:rsidR="00604F10" w:rsidRPr="00403E9B">
        <w:rPr>
          <w:rFonts w:ascii="Arial" w:hAnsi="Arial" w:cs="Arial"/>
          <w:color w:val="000000" w:themeColor="text1"/>
          <w:lang w:val="fr-CI"/>
        </w:rPr>
        <w:t xml:space="preserve">stratégie de communication </w:t>
      </w:r>
      <w:r w:rsidR="004A1E74" w:rsidRPr="00403E9B">
        <w:rPr>
          <w:rFonts w:ascii="Arial" w:hAnsi="Arial" w:cs="Arial"/>
          <w:color w:val="000000" w:themeColor="text1"/>
          <w:lang w:val="fr-CI"/>
        </w:rPr>
        <w:t>de l’UA sur le</w:t>
      </w:r>
      <w:r w:rsidR="00604F10" w:rsidRPr="00403E9B">
        <w:rPr>
          <w:rFonts w:ascii="Arial" w:hAnsi="Arial" w:cs="Arial"/>
          <w:color w:val="000000" w:themeColor="text1"/>
          <w:lang w:val="fr-CI"/>
        </w:rPr>
        <w:t xml:space="preserve"> genre </w:t>
      </w:r>
    </w:p>
    <w:p w:rsidR="00E11BED" w:rsidRDefault="00E11BED" w:rsidP="00E11BED">
      <w:pPr>
        <w:pStyle w:val="Prrafodelista"/>
        <w:ind w:left="1276"/>
        <w:jc w:val="both"/>
        <w:rPr>
          <w:rFonts w:ascii="Arial" w:hAnsi="Arial" w:cs="Arial"/>
          <w:color w:val="000000" w:themeColor="text1"/>
          <w:lang w:val="fr-CI"/>
        </w:rPr>
      </w:pPr>
    </w:p>
    <w:p w:rsidR="00604F10" w:rsidRPr="00403E9B" w:rsidRDefault="00E11BED" w:rsidP="00E11BED">
      <w:pPr>
        <w:pStyle w:val="Prrafodelista"/>
        <w:numPr>
          <w:ilvl w:val="0"/>
          <w:numId w:val="11"/>
        </w:numPr>
        <w:ind w:left="1276" w:hanging="567"/>
        <w:jc w:val="both"/>
        <w:rPr>
          <w:rFonts w:ascii="Arial" w:hAnsi="Arial" w:cs="Arial"/>
          <w:color w:val="000000" w:themeColor="text1"/>
          <w:lang w:val="fr-CI"/>
        </w:rPr>
      </w:pPr>
      <w:r>
        <w:rPr>
          <w:rFonts w:ascii="Arial" w:hAnsi="Arial" w:cs="Arial"/>
          <w:color w:val="000000" w:themeColor="text1"/>
          <w:lang w:val="fr-CI"/>
        </w:rPr>
        <w:t>e</w:t>
      </w:r>
      <w:r w:rsidR="00604F10" w:rsidRPr="00403E9B">
        <w:rPr>
          <w:rFonts w:ascii="Arial" w:hAnsi="Arial" w:cs="Arial"/>
          <w:color w:val="000000" w:themeColor="text1"/>
          <w:lang w:val="fr-CI"/>
        </w:rPr>
        <w:t xml:space="preserve">xaminer les </w:t>
      </w:r>
      <w:r w:rsidR="001E3045" w:rsidRPr="00403E9B">
        <w:rPr>
          <w:rFonts w:ascii="Arial" w:hAnsi="Arial" w:cs="Arial"/>
          <w:color w:val="000000" w:themeColor="text1"/>
          <w:lang w:val="fr-CI"/>
        </w:rPr>
        <w:t xml:space="preserve">Rapports </w:t>
      </w:r>
      <w:r w:rsidR="00604F10" w:rsidRPr="00403E9B">
        <w:rPr>
          <w:rFonts w:ascii="Arial" w:hAnsi="Arial" w:cs="Arial"/>
          <w:color w:val="000000" w:themeColor="text1"/>
          <w:lang w:val="fr-CI"/>
        </w:rPr>
        <w:t xml:space="preserve">sur la mise en œuvre de la Déclaration solennelle sur l’égalité </w:t>
      </w:r>
      <w:r w:rsidR="00750826">
        <w:rPr>
          <w:rStyle w:val="notranslate"/>
          <w:rFonts w:ascii="Arial" w:hAnsi="Arial" w:cs="Arial"/>
          <w:color w:val="000000"/>
          <w:lang w:val="fr-CI"/>
        </w:rPr>
        <w:t xml:space="preserve">entre les 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>homme</w:t>
      </w:r>
      <w:r w:rsidR="00750826">
        <w:rPr>
          <w:rStyle w:val="notranslate"/>
          <w:rFonts w:ascii="Arial" w:hAnsi="Arial" w:cs="Arial"/>
          <w:color w:val="000000"/>
          <w:lang w:val="fr-CI"/>
        </w:rPr>
        <w:t xml:space="preserve">s et les 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>femme</w:t>
      </w:r>
      <w:r w:rsidR="00750826">
        <w:rPr>
          <w:rStyle w:val="notranslate"/>
          <w:rFonts w:ascii="Arial" w:hAnsi="Arial" w:cs="Arial"/>
          <w:color w:val="000000"/>
          <w:lang w:val="fr-CI"/>
        </w:rPr>
        <w:t>s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604F10" w:rsidRPr="00403E9B">
        <w:rPr>
          <w:rFonts w:ascii="Arial" w:hAnsi="Arial" w:cs="Arial"/>
          <w:color w:val="000000" w:themeColor="text1"/>
          <w:lang w:val="fr-CI"/>
        </w:rPr>
        <w:t>en Afrique (SDGEA).</w:t>
      </w:r>
    </w:p>
    <w:p w:rsidR="00E11BED" w:rsidRPr="00E11BED" w:rsidRDefault="00E11BED" w:rsidP="00E11BED">
      <w:pPr>
        <w:pStyle w:val="NormalWeb"/>
        <w:spacing w:before="0" w:beforeAutospacing="0" w:after="0" w:afterAutospacing="0"/>
        <w:ind w:left="709"/>
        <w:jc w:val="both"/>
        <w:rPr>
          <w:rStyle w:val="notranslate"/>
          <w:b/>
          <w:bCs/>
          <w:lang w:val="fr-CI"/>
        </w:rPr>
      </w:pPr>
    </w:p>
    <w:p w:rsidR="00604F10" w:rsidRPr="00E11BED" w:rsidRDefault="00604F10" w:rsidP="00E11BED">
      <w:pPr>
        <w:pStyle w:val="NormalWeb"/>
        <w:numPr>
          <w:ilvl w:val="0"/>
          <w:numId w:val="18"/>
        </w:numPr>
        <w:spacing w:before="0" w:beforeAutospacing="0" w:after="0" w:afterAutospacing="0"/>
        <w:ind w:left="709" w:hanging="709"/>
        <w:jc w:val="both"/>
        <w:rPr>
          <w:rStyle w:val="notranslate"/>
          <w:b/>
          <w:bCs/>
        </w:rPr>
      </w:pPr>
      <w:r w:rsidRPr="00403E9B">
        <w:rPr>
          <w:rStyle w:val="notranslate"/>
          <w:rFonts w:ascii="Arial" w:hAnsi="Arial" w:cs="Arial"/>
          <w:b/>
          <w:bCs/>
          <w:color w:val="000000"/>
          <w:lang w:val="fr-CI"/>
        </w:rPr>
        <w:t>Résultats</w:t>
      </w:r>
      <w:r w:rsidR="004A1E74" w:rsidRPr="00403E9B">
        <w:rPr>
          <w:rStyle w:val="notranslate"/>
          <w:rFonts w:ascii="Arial" w:hAnsi="Arial" w:cs="Arial"/>
          <w:b/>
          <w:bCs/>
          <w:color w:val="000000"/>
          <w:lang w:val="fr-CI"/>
        </w:rPr>
        <w:t xml:space="preserve"> attendus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fr-CI"/>
        </w:rPr>
      </w:pPr>
      <w:r w:rsidRPr="00403E9B">
        <w:rPr>
          <w:rFonts w:ascii="Arial" w:hAnsi="Arial" w:cs="Arial"/>
          <w:b/>
          <w:bCs/>
          <w:color w:val="000000"/>
          <w:lang w:val="fr-CI"/>
        </w:rPr>
        <w:t xml:space="preserve"> </w:t>
      </w:r>
    </w:p>
    <w:p w:rsidR="004A1E74" w:rsidRPr="00403E9B" w:rsidRDefault="00E11BED" w:rsidP="00E11BED">
      <w:pPr>
        <w:pStyle w:val="Prrafodelista"/>
        <w:numPr>
          <w:ilvl w:val="0"/>
          <w:numId w:val="11"/>
        </w:numPr>
        <w:ind w:left="1276" w:hanging="567"/>
        <w:jc w:val="both"/>
        <w:rPr>
          <w:rFonts w:ascii="Arial" w:hAnsi="Arial" w:cs="Arial"/>
          <w:color w:val="000000" w:themeColor="text1"/>
          <w:lang w:val="fr-CI"/>
        </w:rPr>
      </w:pPr>
      <w:r>
        <w:rPr>
          <w:rFonts w:ascii="Arial" w:hAnsi="Arial" w:cs="Arial"/>
          <w:color w:val="000000" w:themeColor="text1"/>
          <w:lang w:val="fr-CI"/>
        </w:rPr>
        <w:t>a</w:t>
      </w:r>
      <w:r w:rsidR="004A1E74" w:rsidRPr="00403E9B">
        <w:rPr>
          <w:rFonts w:ascii="Arial" w:hAnsi="Arial" w:cs="Arial"/>
          <w:color w:val="000000" w:themeColor="text1"/>
          <w:lang w:val="fr-CI"/>
        </w:rPr>
        <w:t>doption de la Nouvelle stratégie de l’UA en matière de genre par le CTS ;</w:t>
      </w:r>
    </w:p>
    <w:p w:rsidR="00E11BED" w:rsidRDefault="00E11BED" w:rsidP="00E11BED">
      <w:pPr>
        <w:pStyle w:val="Prrafodelista"/>
        <w:ind w:left="1276"/>
        <w:jc w:val="both"/>
        <w:rPr>
          <w:rFonts w:ascii="Arial" w:hAnsi="Arial" w:cs="Arial"/>
          <w:color w:val="000000" w:themeColor="text1"/>
          <w:lang w:val="fr-CI"/>
        </w:rPr>
      </w:pPr>
    </w:p>
    <w:p w:rsidR="004A1E74" w:rsidRPr="00403E9B" w:rsidRDefault="00E11BED" w:rsidP="00E11BED">
      <w:pPr>
        <w:pStyle w:val="Prrafodelista"/>
        <w:numPr>
          <w:ilvl w:val="0"/>
          <w:numId w:val="11"/>
        </w:numPr>
        <w:ind w:left="1276" w:hanging="567"/>
        <w:jc w:val="both"/>
        <w:rPr>
          <w:rFonts w:ascii="Arial" w:hAnsi="Arial" w:cs="Arial"/>
          <w:color w:val="000000" w:themeColor="text1"/>
          <w:lang w:val="fr-CI"/>
        </w:rPr>
      </w:pPr>
      <w:r>
        <w:rPr>
          <w:rFonts w:ascii="Arial" w:hAnsi="Arial" w:cs="Arial"/>
          <w:color w:val="000000" w:themeColor="text1"/>
          <w:lang w:val="fr-CI"/>
        </w:rPr>
        <w:t>a</w:t>
      </w:r>
      <w:r w:rsidR="004A1E74" w:rsidRPr="00403E9B">
        <w:rPr>
          <w:rFonts w:ascii="Arial" w:hAnsi="Arial" w:cs="Arial"/>
          <w:color w:val="000000" w:themeColor="text1"/>
          <w:lang w:val="fr-CI"/>
        </w:rPr>
        <w:t xml:space="preserve">doption du </w:t>
      </w:r>
      <w:r w:rsidR="001E3045" w:rsidRPr="00403E9B">
        <w:rPr>
          <w:rFonts w:ascii="Arial" w:hAnsi="Arial" w:cs="Arial"/>
          <w:color w:val="000000" w:themeColor="text1"/>
          <w:lang w:val="fr-CI"/>
        </w:rPr>
        <w:t xml:space="preserve">Rapport </w:t>
      </w:r>
      <w:r w:rsidR="004A1E74" w:rsidRPr="00403E9B">
        <w:rPr>
          <w:rFonts w:ascii="Arial" w:hAnsi="Arial" w:cs="Arial"/>
          <w:color w:val="000000" w:themeColor="text1"/>
          <w:lang w:val="fr-CI"/>
        </w:rPr>
        <w:t>sur l’évaluation de la politique 2009 en matière de genre ;</w:t>
      </w:r>
    </w:p>
    <w:p w:rsidR="00E11BED" w:rsidRDefault="00E11BED" w:rsidP="00E11BED">
      <w:pPr>
        <w:pStyle w:val="Prrafodelista"/>
        <w:ind w:left="1276"/>
        <w:jc w:val="both"/>
        <w:rPr>
          <w:rFonts w:ascii="Arial" w:hAnsi="Arial" w:cs="Arial"/>
          <w:color w:val="000000" w:themeColor="text1"/>
          <w:lang w:val="fr-CI"/>
        </w:rPr>
      </w:pPr>
    </w:p>
    <w:p w:rsidR="004A1E74" w:rsidRPr="00403E9B" w:rsidRDefault="00E11BED" w:rsidP="00E11BED">
      <w:pPr>
        <w:pStyle w:val="Prrafodelista"/>
        <w:numPr>
          <w:ilvl w:val="0"/>
          <w:numId w:val="11"/>
        </w:numPr>
        <w:ind w:left="1276" w:hanging="567"/>
        <w:jc w:val="both"/>
        <w:rPr>
          <w:rFonts w:ascii="Arial" w:hAnsi="Arial" w:cs="Arial"/>
          <w:color w:val="000000" w:themeColor="text1"/>
          <w:lang w:val="fr-CI"/>
        </w:rPr>
      </w:pPr>
      <w:r>
        <w:rPr>
          <w:rFonts w:ascii="Arial" w:hAnsi="Arial" w:cs="Arial"/>
          <w:color w:val="000000" w:themeColor="text1"/>
          <w:lang w:val="fr-CI"/>
        </w:rPr>
        <w:t>a</w:t>
      </w:r>
      <w:r w:rsidR="004A1E74" w:rsidRPr="00403E9B">
        <w:rPr>
          <w:rFonts w:ascii="Arial" w:hAnsi="Arial" w:cs="Arial"/>
          <w:color w:val="000000" w:themeColor="text1"/>
          <w:lang w:val="fr-CI"/>
        </w:rPr>
        <w:t xml:space="preserve">doption de la Nouvelle stratégie de communication de l’UA sur le genre </w:t>
      </w:r>
    </w:p>
    <w:p w:rsidR="00E11BED" w:rsidRDefault="00E11BED" w:rsidP="00E11BED">
      <w:pPr>
        <w:pStyle w:val="Prrafodelista"/>
        <w:ind w:left="1276"/>
        <w:jc w:val="both"/>
        <w:rPr>
          <w:rFonts w:ascii="Arial" w:hAnsi="Arial" w:cs="Arial"/>
          <w:color w:val="000000" w:themeColor="text1"/>
          <w:lang w:val="fr-CI"/>
        </w:rPr>
      </w:pPr>
    </w:p>
    <w:p w:rsidR="004A1E74" w:rsidRPr="00403E9B" w:rsidRDefault="00E11BED" w:rsidP="00E11BED">
      <w:pPr>
        <w:pStyle w:val="Prrafodelista"/>
        <w:numPr>
          <w:ilvl w:val="0"/>
          <w:numId w:val="11"/>
        </w:numPr>
        <w:ind w:left="1276" w:hanging="567"/>
        <w:jc w:val="both"/>
        <w:rPr>
          <w:rFonts w:ascii="Arial" w:hAnsi="Arial" w:cs="Arial"/>
          <w:color w:val="000000" w:themeColor="text1"/>
          <w:lang w:val="fr-CI"/>
        </w:rPr>
      </w:pPr>
      <w:r>
        <w:rPr>
          <w:rFonts w:ascii="Arial" w:hAnsi="Arial" w:cs="Arial"/>
          <w:color w:val="000000" w:themeColor="text1"/>
          <w:lang w:val="fr-CI"/>
        </w:rPr>
        <w:t>a</w:t>
      </w:r>
      <w:r w:rsidR="006F69CB" w:rsidRPr="00403E9B">
        <w:rPr>
          <w:rFonts w:ascii="Arial" w:hAnsi="Arial" w:cs="Arial"/>
          <w:color w:val="000000" w:themeColor="text1"/>
          <w:lang w:val="fr-CI"/>
        </w:rPr>
        <w:t>doption d</w:t>
      </w:r>
      <w:r w:rsidR="004A1E74" w:rsidRPr="00403E9B">
        <w:rPr>
          <w:rFonts w:ascii="Arial" w:hAnsi="Arial" w:cs="Arial"/>
          <w:color w:val="000000" w:themeColor="text1"/>
          <w:lang w:val="fr-CI"/>
        </w:rPr>
        <w:t xml:space="preserve">es </w:t>
      </w:r>
      <w:r w:rsidR="001E3045" w:rsidRPr="00403E9B">
        <w:rPr>
          <w:rFonts w:ascii="Arial" w:hAnsi="Arial" w:cs="Arial"/>
          <w:color w:val="000000" w:themeColor="text1"/>
          <w:lang w:val="fr-CI"/>
        </w:rPr>
        <w:t xml:space="preserve">Rapports </w:t>
      </w:r>
      <w:r w:rsidR="004A1E74" w:rsidRPr="00403E9B">
        <w:rPr>
          <w:rFonts w:ascii="Arial" w:hAnsi="Arial" w:cs="Arial"/>
          <w:color w:val="000000" w:themeColor="text1"/>
          <w:lang w:val="fr-CI"/>
        </w:rPr>
        <w:t xml:space="preserve">sur la mise en œuvre de la Déclaration solennelle sur l’égalité </w:t>
      </w:r>
      <w:r w:rsidR="00750826">
        <w:rPr>
          <w:rFonts w:ascii="Arial" w:hAnsi="Arial" w:cs="Arial"/>
          <w:color w:val="000000" w:themeColor="text1"/>
          <w:lang w:val="fr-CI"/>
        </w:rPr>
        <w:t xml:space="preserve">entre </w:t>
      </w:r>
      <w:r w:rsidR="00750826">
        <w:rPr>
          <w:rStyle w:val="notranslate"/>
          <w:rFonts w:ascii="Arial" w:hAnsi="Arial" w:cs="Arial"/>
          <w:color w:val="000000"/>
          <w:lang w:val="fr-CI"/>
        </w:rPr>
        <w:t xml:space="preserve">les 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>homme</w:t>
      </w:r>
      <w:r w:rsidR="00750826">
        <w:rPr>
          <w:rStyle w:val="notranslate"/>
          <w:rFonts w:ascii="Arial" w:hAnsi="Arial" w:cs="Arial"/>
          <w:color w:val="000000"/>
          <w:lang w:val="fr-CI"/>
        </w:rPr>
        <w:t xml:space="preserve">s et les 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>femme</w:t>
      </w:r>
      <w:r w:rsidR="00750826">
        <w:rPr>
          <w:rStyle w:val="notranslate"/>
          <w:rFonts w:ascii="Arial" w:hAnsi="Arial" w:cs="Arial"/>
          <w:color w:val="000000"/>
          <w:lang w:val="fr-CI"/>
        </w:rPr>
        <w:t>s</w:t>
      </w:r>
      <w:r w:rsidR="00750826" w:rsidRPr="00403E9B">
        <w:rPr>
          <w:rStyle w:val="notranslate"/>
          <w:rFonts w:ascii="Arial" w:hAnsi="Arial" w:cs="Arial"/>
          <w:color w:val="000000"/>
          <w:lang w:val="fr-CI"/>
        </w:rPr>
        <w:t xml:space="preserve"> </w:t>
      </w:r>
      <w:r w:rsidR="004A1E74" w:rsidRPr="00403E9B">
        <w:rPr>
          <w:rFonts w:ascii="Arial" w:hAnsi="Arial" w:cs="Arial"/>
          <w:color w:val="000000" w:themeColor="text1"/>
          <w:lang w:val="fr-CI"/>
        </w:rPr>
        <w:t>en Afrique (SDGEA).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lang w:val="fr-CI"/>
        </w:rPr>
      </w:pPr>
    </w:p>
    <w:p w:rsidR="00604F10" w:rsidRPr="00E11BED" w:rsidRDefault="00604F10" w:rsidP="00E11BED">
      <w:pPr>
        <w:pStyle w:val="NormalWeb"/>
        <w:numPr>
          <w:ilvl w:val="0"/>
          <w:numId w:val="18"/>
        </w:numPr>
        <w:spacing w:before="0" w:beforeAutospacing="0" w:after="0" w:afterAutospacing="0"/>
        <w:ind w:left="709" w:hanging="709"/>
        <w:jc w:val="both"/>
        <w:rPr>
          <w:rStyle w:val="notranslate"/>
          <w:rFonts w:ascii="Arial" w:hAnsi="Arial" w:cs="Arial"/>
          <w:b/>
          <w:bCs/>
          <w:color w:val="000000"/>
          <w:lang w:val="fr-CI"/>
        </w:rPr>
      </w:pPr>
      <w:r w:rsidRPr="00403E9B">
        <w:rPr>
          <w:rStyle w:val="notranslate"/>
          <w:rFonts w:ascii="Arial" w:hAnsi="Arial" w:cs="Arial"/>
          <w:b/>
          <w:bCs/>
          <w:color w:val="000000"/>
          <w:lang w:val="fr-CI"/>
        </w:rPr>
        <w:lastRenderedPageBreak/>
        <w:t>Participants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b/>
          <w:bCs/>
          <w:color w:val="000000"/>
          <w:lang w:val="fr-CI"/>
        </w:rPr>
        <w:t xml:space="preserve"> 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réunion sera suivie par les ministres </w:t>
      </w:r>
      <w:r w:rsidR="006F69CB" w:rsidRPr="00403E9B">
        <w:rPr>
          <w:rStyle w:val="notranslate"/>
          <w:rFonts w:ascii="Arial" w:hAnsi="Arial" w:cs="Arial"/>
          <w:color w:val="000000"/>
          <w:lang w:val="fr-CI"/>
        </w:rPr>
        <w:t>africains chargés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du genre et des affaires féminines et </w:t>
      </w:r>
      <w:r w:rsidR="006F69CB" w:rsidRPr="00403E9B">
        <w:rPr>
          <w:rStyle w:val="notranslate"/>
          <w:rFonts w:ascii="Arial" w:hAnsi="Arial" w:cs="Arial"/>
          <w:color w:val="000000"/>
          <w:lang w:val="fr-CI"/>
        </w:rPr>
        <w:t>par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leurs experts</w:t>
      </w:r>
      <w:r w:rsidR="001E3045" w:rsidRPr="00403E9B">
        <w:rPr>
          <w:rStyle w:val="notranslate"/>
          <w:rFonts w:ascii="Arial" w:hAnsi="Arial" w:cs="Arial"/>
          <w:color w:val="000000"/>
          <w:lang w:val="fr-CI"/>
        </w:rPr>
        <w:t>,</w:t>
      </w:r>
      <w:r w:rsidRPr="00403E9B">
        <w:rPr>
          <w:rFonts w:ascii="Arial" w:hAnsi="Arial" w:cs="Arial"/>
          <w:color w:val="000000"/>
          <w:lang w:val="fr-CI"/>
        </w:rPr>
        <w:t xml:space="preserve"> </w:t>
      </w:r>
      <w:r w:rsidRPr="00403E9B">
        <w:rPr>
          <w:rStyle w:val="notranslate"/>
          <w:rFonts w:ascii="Arial" w:hAnsi="Arial" w:cs="Arial"/>
          <w:color w:val="000000"/>
          <w:lang w:val="fr-CI"/>
        </w:rPr>
        <w:t>ainsi que</w:t>
      </w:r>
      <w:r w:rsidR="006F69CB" w:rsidRPr="00403E9B">
        <w:rPr>
          <w:rStyle w:val="notranslate"/>
          <w:rFonts w:ascii="Arial" w:hAnsi="Arial" w:cs="Arial"/>
          <w:color w:val="000000"/>
          <w:lang w:val="fr-CI"/>
        </w:rPr>
        <w:t xml:space="preserve"> par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le personnel de la CUA.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000000"/>
          <w:lang w:val="fr-CI"/>
        </w:rPr>
        <w:t xml:space="preserve"> </w:t>
      </w:r>
    </w:p>
    <w:p w:rsidR="00604F10" w:rsidRPr="00E11BED" w:rsidRDefault="00604F10" w:rsidP="00E11BED">
      <w:pPr>
        <w:pStyle w:val="NormalWeb"/>
        <w:numPr>
          <w:ilvl w:val="0"/>
          <w:numId w:val="18"/>
        </w:numPr>
        <w:spacing w:before="0" w:beforeAutospacing="0" w:after="0" w:afterAutospacing="0"/>
        <w:ind w:left="709" w:hanging="709"/>
        <w:jc w:val="both"/>
        <w:rPr>
          <w:rStyle w:val="notranslate"/>
          <w:b/>
          <w:bCs/>
          <w:lang w:val="fr-FR"/>
        </w:rPr>
      </w:pPr>
      <w:r w:rsidRPr="00403E9B">
        <w:rPr>
          <w:rStyle w:val="notranslate"/>
          <w:rFonts w:ascii="Arial" w:hAnsi="Arial" w:cs="Arial"/>
          <w:b/>
          <w:bCs/>
          <w:color w:val="000000"/>
          <w:lang w:val="fr-CI"/>
        </w:rPr>
        <w:t>Date et lieu de la réunion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color w:val="000000"/>
          <w:lang w:val="fr-CI"/>
        </w:rPr>
        <w:t xml:space="preserve"> 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La réunion se tiendra du 4 au 8 </w:t>
      </w:r>
      <w:r w:rsidR="006F69CB" w:rsidRPr="00403E9B">
        <w:rPr>
          <w:rStyle w:val="notranslate"/>
          <w:rFonts w:ascii="Arial" w:hAnsi="Arial" w:cs="Arial"/>
          <w:color w:val="000000"/>
          <w:lang w:val="fr-CI"/>
        </w:rPr>
        <w:t>d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écembre 2017 </w:t>
      </w:r>
      <w:r w:rsidR="006F69CB" w:rsidRPr="00403E9B">
        <w:rPr>
          <w:rStyle w:val="notranslate"/>
          <w:rFonts w:ascii="Arial" w:hAnsi="Arial" w:cs="Arial"/>
          <w:color w:val="000000"/>
          <w:lang w:val="fr-CI"/>
        </w:rPr>
        <w:t xml:space="preserve">à </w:t>
      </w:r>
      <w:r w:rsidR="00CF1CFA">
        <w:rPr>
          <w:rStyle w:val="notranslate"/>
          <w:rFonts w:ascii="Arial" w:hAnsi="Arial" w:cs="Arial"/>
          <w:color w:val="000000"/>
          <w:lang w:val="fr-CI"/>
        </w:rPr>
        <w:t>Addis Abeba, Ethiopie</w:t>
      </w:r>
      <w:r w:rsidRPr="00403E9B">
        <w:rPr>
          <w:rStyle w:val="notranslate"/>
          <w:rFonts w:ascii="Arial" w:hAnsi="Arial" w:cs="Arial"/>
          <w:color w:val="000000"/>
          <w:lang w:val="fr-CI"/>
        </w:rPr>
        <w:t>.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b/>
          <w:bCs/>
          <w:color w:val="000000"/>
          <w:lang w:val="fr-CI"/>
        </w:rPr>
        <w:t xml:space="preserve"> </w:t>
      </w:r>
    </w:p>
    <w:p w:rsidR="00604F10" w:rsidRPr="00E11BED" w:rsidRDefault="006F69CB" w:rsidP="00E11BED">
      <w:pPr>
        <w:pStyle w:val="NormalWeb"/>
        <w:numPr>
          <w:ilvl w:val="0"/>
          <w:numId w:val="18"/>
        </w:numPr>
        <w:spacing w:before="0" w:beforeAutospacing="0" w:after="0" w:afterAutospacing="0"/>
        <w:ind w:left="709" w:hanging="709"/>
        <w:jc w:val="both"/>
        <w:rPr>
          <w:rStyle w:val="notranslate"/>
          <w:b/>
          <w:bCs/>
        </w:rPr>
      </w:pPr>
      <w:r w:rsidRPr="00403E9B">
        <w:rPr>
          <w:rStyle w:val="notranslate"/>
          <w:rFonts w:ascii="Arial" w:hAnsi="Arial" w:cs="Arial"/>
          <w:b/>
          <w:bCs/>
          <w:color w:val="000000"/>
          <w:lang w:val="fr-CI"/>
        </w:rPr>
        <w:t>Langue de travail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fr-CI"/>
        </w:rPr>
      </w:pPr>
      <w:r w:rsidRPr="00403E9B">
        <w:rPr>
          <w:rFonts w:ascii="Arial" w:hAnsi="Arial" w:cs="Arial"/>
          <w:b/>
          <w:bCs/>
          <w:color w:val="000000"/>
          <w:lang w:val="fr-CI"/>
        </w:rPr>
        <w:t xml:space="preserve"> </w:t>
      </w:r>
    </w:p>
    <w:p w:rsidR="00604F10" w:rsidRPr="00403E9B" w:rsidRDefault="00604F10" w:rsidP="00E11B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fr-CI"/>
        </w:rPr>
      </w:pP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Les </w:t>
      </w:r>
      <w:r w:rsidR="009F6AF3" w:rsidRPr="00403E9B">
        <w:rPr>
          <w:rStyle w:val="notranslate"/>
          <w:rFonts w:ascii="Arial" w:hAnsi="Arial" w:cs="Arial"/>
          <w:color w:val="000000"/>
          <w:lang w:val="fr-CI"/>
        </w:rPr>
        <w:t>travaux</w:t>
      </w:r>
      <w:r w:rsidRPr="00403E9B">
        <w:rPr>
          <w:rStyle w:val="notranslate"/>
          <w:rFonts w:ascii="Arial" w:hAnsi="Arial" w:cs="Arial"/>
          <w:color w:val="000000"/>
          <w:lang w:val="fr-CI"/>
        </w:rPr>
        <w:t xml:space="preserve"> se dérouleront dans toutes les langues de l’UA </w:t>
      </w:r>
      <w:r w:rsidR="006F69CB" w:rsidRPr="00403E9B">
        <w:rPr>
          <w:rStyle w:val="notranslate"/>
          <w:rFonts w:ascii="Arial" w:hAnsi="Arial" w:cs="Arial"/>
          <w:color w:val="000000"/>
          <w:lang w:val="fr-CI"/>
        </w:rPr>
        <w:t>(</w:t>
      </w:r>
      <w:r w:rsidRPr="00403E9B">
        <w:rPr>
          <w:rStyle w:val="notranslate"/>
          <w:rFonts w:ascii="Arial" w:hAnsi="Arial" w:cs="Arial"/>
          <w:color w:val="000000"/>
          <w:lang w:val="fr-CI"/>
        </w:rPr>
        <w:t>arabe, anglais, français et portugais</w:t>
      </w:r>
      <w:r w:rsidR="006F69CB" w:rsidRPr="00403E9B">
        <w:rPr>
          <w:rStyle w:val="notranslate"/>
          <w:rFonts w:ascii="Arial" w:hAnsi="Arial" w:cs="Arial"/>
          <w:color w:val="000000"/>
          <w:lang w:val="fr-CI"/>
        </w:rPr>
        <w:t>)</w:t>
      </w:r>
      <w:r w:rsidRPr="00403E9B">
        <w:rPr>
          <w:rStyle w:val="notranslate"/>
          <w:rFonts w:ascii="Arial" w:hAnsi="Arial" w:cs="Arial"/>
          <w:color w:val="000000"/>
          <w:lang w:val="fr-CI"/>
        </w:rPr>
        <w:t>.</w:t>
      </w:r>
    </w:p>
    <w:p w:rsidR="00604F10" w:rsidRPr="00604F10" w:rsidRDefault="00604F10" w:rsidP="00E11BED">
      <w:pPr>
        <w:rPr>
          <w:lang w:val="fr-FR"/>
        </w:rPr>
      </w:pPr>
    </w:p>
    <w:sectPr w:rsidR="00604F10" w:rsidRPr="00604F10" w:rsidSect="00E11BED">
      <w:headerReference w:type="default" r:id="rId10"/>
      <w:footerReference w:type="even" r:id="rId11"/>
      <w:footerReference w:type="default" r:id="rId12"/>
      <w:pgSz w:w="12240" w:h="15840"/>
      <w:pgMar w:top="1440" w:right="1440" w:bottom="992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007" w:rsidRDefault="00F70007">
      <w:r>
        <w:separator/>
      </w:r>
    </w:p>
  </w:endnote>
  <w:endnote w:type="continuationSeparator" w:id="0">
    <w:p w:rsidR="00F70007" w:rsidRDefault="00F7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313" w:rsidRDefault="00C243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4313" w:rsidRDefault="00C2431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313" w:rsidRDefault="00C2431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007" w:rsidRDefault="00F70007">
      <w:r>
        <w:separator/>
      </w:r>
    </w:p>
  </w:footnote>
  <w:footnote w:type="continuationSeparator" w:id="0">
    <w:p w:rsidR="00F70007" w:rsidRDefault="00F7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163911"/>
      <w:docPartObj>
        <w:docPartGallery w:val="Page Numbers (Top of Page)"/>
        <w:docPartUnique/>
      </w:docPartObj>
    </w:sdtPr>
    <w:sdtEndPr>
      <w:rPr>
        <w:rFonts w:ascii="Arial" w:hAnsi="Arial" w:cs="Arial"/>
        <w:b/>
        <w:noProof/>
      </w:rPr>
    </w:sdtEndPr>
    <w:sdtContent>
      <w:p w:rsidR="00E11BED" w:rsidRPr="00E11BED" w:rsidRDefault="00E11BED">
        <w:pPr>
          <w:pStyle w:val="Encabezado"/>
          <w:jc w:val="right"/>
          <w:rPr>
            <w:rFonts w:ascii="Arial" w:hAnsi="Arial" w:cs="Arial"/>
            <w:b/>
          </w:rPr>
        </w:pPr>
        <w:r w:rsidRPr="00E11BED">
          <w:rPr>
            <w:rFonts w:ascii="Arial" w:hAnsi="Arial" w:cs="Arial"/>
            <w:b/>
          </w:rPr>
          <w:t xml:space="preserve">Page </w:t>
        </w:r>
        <w:r w:rsidRPr="00E11BED">
          <w:rPr>
            <w:rFonts w:ascii="Arial" w:hAnsi="Arial" w:cs="Arial"/>
            <w:b/>
          </w:rPr>
          <w:fldChar w:fldCharType="begin"/>
        </w:r>
        <w:r w:rsidRPr="00E11BED">
          <w:rPr>
            <w:rFonts w:ascii="Arial" w:hAnsi="Arial" w:cs="Arial"/>
            <w:b/>
          </w:rPr>
          <w:instrText xml:space="preserve"> PAGE   \* MERGEFORMAT </w:instrText>
        </w:r>
        <w:r w:rsidRPr="00E11BED">
          <w:rPr>
            <w:rFonts w:ascii="Arial" w:hAnsi="Arial" w:cs="Arial"/>
            <w:b/>
          </w:rPr>
          <w:fldChar w:fldCharType="separate"/>
        </w:r>
        <w:r w:rsidR="005E010B">
          <w:rPr>
            <w:rFonts w:ascii="Arial" w:hAnsi="Arial" w:cs="Arial"/>
            <w:b/>
            <w:noProof/>
          </w:rPr>
          <w:t>4</w:t>
        </w:r>
        <w:r w:rsidRPr="00E11BED">
          <w:rPr>
            <w:rFonts w:ascii="Arial" w:hAnsi="Arial" w:cs="Arial"/>
            <w:b/>
            <w:noProof/>
          </w:rPr>
          <w:fldChar w:fldCharType="end"/>
        </w:r>
      </w:p>
    </w:sdtContent>
  </w:sdt>
  <w:p w:rsidR="00E11BED" w:rsidRDefault="00E11B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088"/>
    <w:multiLevelType w:val="hybridMultilevel"/>
    <w:tmpl w:val="BEC41CAC"/>
    <w:lvl w:ilvl="0" w:tplc="24A0870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2EF7"/>
    <w:multiLevelType w:val="hybridMultilevel"/>
    <w:tmpl w:val="E6C6E8A6"/>
    <w:lvl w:ilvl="0" w:tplc="EC4841A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86885"/>
    <w:multiLevelType w:val="hybridMultilevel"/>
    <w:tmpl w:val="ECF4016C"/>
    <w:lvl w:ilvl="0" w:tplc="EF7E7D9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455977"/>
    <w:multiLevelType w:val="multilevel"/>
    <w:tmpl w:val="05F4B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E45E1"/>
    <w:multiLevelType w:val="multilevel"/>
    <w:tmpl w:val="35FC5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A0AD6"/>
    <w:multiLevelType w:val="hybridMultilevel"/>
    <w:tmpl w:val="C86C5E4C"/>
    <w:lvl w:ilvl="0" w:tplc="8AFA0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235B"/>
    <w:multiLevelType w:val="hybridMultilevel"/>
    <w:tmpl w:val="06425CFA"/>
    <w:lvl w:ilvl="0" w:tplc="ABCEA3B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6579"/>
    <w:multiLevelType w:val="hybridMultilevel"/>
    <w:tmpl w:val="4A02BD4E"/>
    <w:lvl w:ilvl="0" w:tplc="ABCEA3B4">
      <w:start w:val="1"/>
      <w:numFmt w:val="decimal"/>
      <w:lvlText w:val="%1-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A1AD7"/>
    <w:multiLevelType w:val="hybridMultilevel"/>
    <w:tmpl w:val="AEDA7506"/>
    <w:lvl w:ilvl="0" w:tplc="68BEA7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50A9"/>
    <w:multiLevelType w:val="hybridMultilevel"/>
    <w:tmpl w:val="F2706D84"/>
    <w:lvl w:ilvl="0" w:tplc="0409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4C0B0696"/>
    <w:multiLevelType w:val="hybridMultilevel"/>
    <w:tmpl w:val="24CE5F34"/>
    <w:lvl w:ilvl="0" w:tplc="C1042DE2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8FF"/>
    <w:multiLevelType w:val="hybridMultilevel"/>
    <w:tmpl w:val="AEC06734"/>
    <w:lvl w:ilvl="0" w:tplc="BD863D2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6E6"/>
    <w:multiLevelType w:val="hybridMultilevel"/>
    <w:tmpl w:val="A626A66E"/>
    <w:lvl w:ilvl="0" w:tplc="ABCEA3B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933ED"/>
    <w:multiLevelType w:val="multilevel"/>
    <w:tmpl w:val="6C0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A83AD4"/>
    <w:multiLevelType w:val="hybridMultilevel"/>
    <w:tmpl w:val="CEFEA188"/>
    <w:lvl w:ilvl="0" w:tplc="37C609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AB7D52"/>
    <w:multiLevelType w:val="hybridMultilevel"/>
    <w:tmpl w:val="1BCE1F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E42D3"/>
    <w:multiLevelType w:val="multilevel"/>
    <w:tmpl w:val="9B64B892"/>
    <w:lvl w:ilvl="0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91A227C"/>
    <w:multiLevelType w:val="hybridMultilevel"/>
    <w:tmpl w:val="80A6C62C"/>
    <w:lvl w:ilvl="0" w:tplc="827AFF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15"/>
  </w:num>
  <w:num w:numId="11">
    <w:abstractNumId w:val="17"/>
  </w:num>
  <w:num w:numId="12">
    <w:abstractNumId w:val="5"/>
  </w:num>
  <w:num w:numId="13">
    <w:abstractNumId w:val="2"/>
  </w:num>
  <w:num w:numId="14">
    <w:abstractNumId w:val="13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09"/>
    <w:rsid w:val="00025993"/>
    <w:rsid w:val="000F1CA1"/>
    <w:rsid w:val="001E1952"/>
    <w:rsid w:val="001E3045"/>
    <w:rsid w:val="002E23A4"/>
    <w:rsid w:val="00341EEC"/>
    <w:rsid w:val="003648E4"/>
    <w:rsid w:val="00395892"/>
    <w:rsid w:val="00403E9B"/>
    <w:rsid w:val="00415F4B"/>
    <w:rsid w:val="00426909"/>
    <w:rsid w:val="0045558C"/>
    <w:rsid w:val="004A1E74"/>
    <w:rsid w:val="004C48BD"/>
    <w:rsid w:val="004F6CBC"/>
    <w:rsid w:val="00523D13"/>
    <w:rsid w:val="005854A4"/>
    <w:rsid w:val="00594489"/>
    <w:rsid w:val="005E010B"/>
    <w:rsid w:val="00604F10"/>
    <w:rsid w:val="006478CD"/>
    <w:rsid w:val="006F181F"/>
    <w:rsid w:val="006F69CB"/>
    <w:rsid w:val="00750826"/>
    <w:rsid w:val="0075404F"/>
    <w:rsid w:val="007814C4"/>
    <w:rsid w:val="007A2809"/>
    <w:rsid w:val="007F123F"/>
    <w:rsid w:val="008070B7"/>
    <w:rsid w:val="008A2128"/>
    <w:rsid w:val="008F0400"/>
    <w:rsid w:val="009627CF"/>
    <w:rsid w:val="0096574D"/>
    <w:rsid w:val="009C67CD"/>
    <w:rsid w:val="009F6AF3"/>
    <w:rsid w:val="00AA0B5F"/>
    <w:rsid w:val="00AA2337"/>
    <w:rsid w:val="00AB2F2C"/>
    <w:rsid w:val="00AF32A6"/>
    <w:rsid w:val="00B31697"/>
    <w:rsid w:val="00BB6CD3"/>
    <w:rsid w:val="00BE7243"/>
    <w:rsid w:val="00C12503"/>
    <w:rsid w:val="00C24313"/>
    <w:rsid w:val="00C712C1"/>
    <w:rsid w:val="00CD69B5"/>
    <w:rsid w:val="00CF1CFA"/>
    <w:rsid w:val="00DC2FC8"/>
    <w:rsid w:val="00E11BED"/>
    <w:rsid w:val="00E5075E"/>
    <w:rsid w:val="00E54EBF"/>
    <w:rsid w:val="00E80953"/>
    <w:rsid w:val="00E91E4C"/>
    <w:rsid w:val="00EC5D88"/>
    <w:rsid w:val="00F262C1"/>
    <w:rsid w:val="00F43442"/>
    <w:rsid w:val="00F70007"/>
    <w:rsid w:val="00FD0924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4B71"/>
  <w15:chartTrackingRefBased/>
  <w15:docId w15:val="{A5C10404-77C5-4B01-BE21-3E446DF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A2809"/>
    <w:pPr>
      <w:keepNext/>
      <w:jc w:val="center"/>
      <w:outlineLvl w:val="0"/>
    </w:pPr>
    <w:rPr>
      <w:rFonts w:ascii="Arial" w:hAnsi="Arial"/>
      <w:b/>
      <w:bCs/>
      <w:sz w:val="52"/>
      <w:lang w:val="fr-FR"/>
    </w:rPr>
  </w:style>
  <w:style w:type="paragraph" w:styleId="Ttulo4">
    <w:name w:val="heading 4"/>
    <w:basedOn w:val="Normal"/>
    <w:next w:val="Normal"/>
    <w:link w:val="Ttulo4Car"/>
    <w:qFormat/>
    <w:rsid w:val="007A2809"/>
    <w:pPr>
      <w:keepNext/>
      <w:jc w:val="center"/>
      <w:outlineLvl w:val="3"/>
    </w:pPr>
    <w:rPr>
      <w:rFonts w:ascii="Arial" w:hAnsi="Arial"/>
      <w:b/>
      <w:bCs/>
      <w:sz w:val="28"/>
      <w:lang w:val="fr-FR"/>
    </w:rPr>
  </w:style>
  <w:style w:type="paragraph" w:styleId="Ttulo5">
    <w:name w:val="heading 5"/>
    <w:basedOn w:val="Normal"/>
    <w:next w:val="Normal"/>
    <w:link w:val="Ttulo5Car"/>
    <w:qFormat/>
    <w:rsid w:val="007A2809"/>
    <w:pPr>
      <w:keepNext/>
      <w:jc w:val="center"/>
      <w:outlineLvl w:val="4"/>
    </w:pPr>
    <w:rPr>
      <w:rFonts w:ascii="Arial" w:hAnsi="Arial"/>
      <w:b/>
      <w:sz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2809"/>
    <w:rPr>
      <w:rFonts w:ascii="Arial" w:eastAsia="Times New Roman" w:hAnsi="Arial" w:cs="Times New Roman"/>
      <w:b/>
      <w:bCs/>
      <w:sz w:val="52"/>
      <w:szCs w:val="24"/>
      <w:lang w:val="fr-FR"/>
    </w:rPr>
  </w:style>
  <w:style w:type="character" w:customStyle="1" w:styleId="Ttulo4Car">
    <w:name w:val="Título 4 Car"/>
    <w:basedOn w:val="Fuentedeprrafopredeter"/>
    <w:link w:val="Ttulo4"/>
    <w:rsid w:val="007A2809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Ttulo5Car">
    <w:name w:val="Título 5 Car"/>
    <w:basedOn w:val="Fuentedeprrafopredeter"/>
    <w:link w:val="Ttulo5"/>
    <w:rsid w:val="007A2809"/>
    <w:rPr>
      <w:rFonts w:ascii="Arial" w:eastAsia="Times New Roman" w:hAnsi="Arial" w:cs="Times New Roman"/>
      <w:b/>
      <w:sz w:val="20"/>
      <w:szCs w:val="24"/>
      <w:lang w:val="fr-FR"/>
    </w:rPr>
  </w:style>
  <w:style w:type="paragraph" w:styleId="Textoindependiente2">
    <w:name w:val="Body Text 2"/>
    <w:basedOn w:val="Normal"/>
    <w:link w:val="Textoindependiente2Car"/>
    <w:semiHidden/>
    <w:rsid w:val="007A2809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A28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iedepgina">
    <w:name w:val="footer"/>
    <w:basedOn w:val="Normal"/>
    <w:link w:val="PiedepginaCar"/>
    <w:semiHidden/>
    <w:rsid w:val="007A280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A2809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semiHidden/>
    <w:rsid w:val="007A2809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A280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A2809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A2809"/>
    <w:pPr>
      <w:ind w:left="720"/>
      <w:contextualSpacing/>
    </w:pPr>
  </w:style>
  <w:style w:type="paragraph" w:customStyle="1" w:styleId="Default">
    <w:name w:val="Default"/>
    <w:rsid w:val="007A2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A28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A2809"/>
  </w:style>
  <w:style w:type="paragraph" w:styleId="Sangradetextonormal">
    <w:name w:val="Body Text Indent"/>
    <w:basedOn w:val="Normal"/>
    <w:link w:val="SangradetextonormalCar"/>
    <w:semiHidden/>
    <w:rsid w:val="001E1952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E1952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E7243"/>
    <w:rPr>
      <w:b/>
      <w:bCs/>
    </w:rPr>
  </w:style>
  <w:style w:type="paragraph" w:styleId="NormalWeb">
    <w:name w:val="Normal (Web)"/>
    <w:basedOn w:val="Normal"/>
    <w:uiPriority w:val="99"/>
    <w:unhideWhenUsed/>
    <w:rsid w:val="00604F10"/>
    <w:pPr>
      <w:spacing w:before="100" w:beforeAutospacing="1" w:after="100" w:afterAutospacing="1"/>
    </w:pPr>
  </w:style>
  <w:style w:type="character" w:customStyle="1" w:styleId="notranslate">
    <w:name w:val="notranslate"/>
    <w:basedOn w:val="Fuentedeprrafopredeter"/>
    <w:rsid w:val="0060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African Union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Kayitesi Jeanne Flora</dc:creator>
  <cp:keywords/>
  <dc:description/>
  <cp:lastModifiedBy>Isabelle Govindassamy</cp:lastModifiedBy>
  <cp:revision>2</cp:revision>
  <dcterms:created xsi:type="dcterms:W3CDTF">2017-11-29T12:47:00Z</dcterms:created>
  <dcterms:modified xsi:type="dcterms:W3CDTF">2017-11-29T12:47:00Z</dcterms:modified>
</cp:coreProperties>
</file>